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宋体" w:hAnsi="宋体" w:eastAsia="宋体" w:cs="宋体"/>
          <w:b/>
          <w:bCs/>
          <w:sz w:val="44"/>
          <w:szCs w:val="44"/>
        </w:rPr>
      </w:pPr>
      <w:r>
        <w:rPr>
          <w:rFonts w:hint="eastAsia" w:ascii="宋体" w:hAnsi="宋体" w:eastAsia="宋体" w:cs="宋体"/>
          <w:b/>
          <w:bCs/>
          <w:sz w:val="44"/>
          <w:szCs w:val="44"/>
        </w:rPr>
        <w:drawing>
          <wp:anchor distT="0" distB="0" distL="114300" distR="114300" simplePos="0" relativeHeight="251659264" behindDoc="0" locked="0" layoutInCell="1" allowOverlap="1">
            <wp:simplePos x="0" y="0"/>
            <wp:positionH relativeFrom="column">
              <wp:posOffset>-635</wp:posOffset>
            </wp:positionH>
            <wp:positionV relativeFrom="paragraph">
              <wp:posOffset>503555</wp:posOffset>
            </wp:positionV>
            <wp:extent cx="6119495" cy="1194435"/>
            <wp:effectExtent l="0" t="0" r="14605" b="5715"/>
            <wp:wrapSquare wrapText="bothSides"/>
            <wp:docPr id="17" name="图片 17" descr="工商学校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工商学校02"/>
                    <pic:cNvPicPr>
                      <a:picLocks noChangeAspect="1"/>
                    </pic:cNvPicPr>
                  </pic:nvPicPr>
                  <pic:blipFill>
                    <a:blip r:embed="rId6"/>
                    <a:stretch>
                      <a:fillRect/>
                    </a:stretch>
                  </pic:blipFill>
                  <pic:spPr>
                    <a:xfrm>
                      <a:off x="0" y="0"/>
                      <a:ext cx="6119495" cy="1194435"/>
                    </a:xfrm>
                    <a:prstGeom prst="rect">
                      <a:avLst/>
                    </a:prstGeom>
                  </pic:spPr>
                </pic:pic>
              </a:graphicData>
            </a:graphic>
          </wp:anchor>
        </w:drawing>
      </w:r>
    </w:p>
    <w:p>
      <w:pPr>
        <w:spacing w:line="360" w:lineRule="auto"/>
        <w:rPr>
          <w:rFonts w:ascii="宋体" w:hAnsi="宋体" w:eastAsia="宋体" w:cs="宋体"/>
          <w:b/>
          <w:bCs/>
          <w:sz w:val="44"/>
          <w:szCs w:val="44"/>
        </w:rPr>
      </w:pPr>
    </w:p>
    <w:p>
      <w:pPr>
        <w:spacing w:line="360" w:lineRule="auto"/>
        <w:rPr>
          <w:rFonts w:ascii="宋体" w:hAnsi="宋体" w:eastAsia="宋体" w:cs="宋体"/>
          <w:b/>
          <w:bCs/>
          <w:sz w:val="44"/>
          <w:szCs w:val="44"/>
        </w:rPr>
      </w:pPr>
    </w:p>
    <w:p>
      <w:pPr>
        <w:spacing w:line="360" w:lineRule="auto"/>
        <w:rPr>
          <w:rFonts w:ascii="宋体" w:hAnsi="宋体" w:eastAsia="宋体" w:cs="宋体"/>
          <w:b/>
          <w:bCs/>
          <w:sz w:val="44"/>
          <w:szCs w:val="44"/>
        </w:rPr>
      </w:pPr>
    </w:p>
    <w:p>
      <w:pPr>
        <w:spacing w:line="720" w:lineRule="auto"/>
        <w:ind w:right="1180"/>
        <w:jc w:val="center"/>
        <w:rPr>
          <w:rFonts w:hint="eastAsia" w:ascii="黑体" w:eastAsia="黑体"/>
          <w:b/>
          <w:sz w:val="72"/>
          <w:szCs w:val="72"/>
        </w:rPr>
      </w:pPr>
      <w:r>
        <w:rPr>
          <w:rFonts w:hint="eastAsia" w:ascii="黑体" w:eastAsia="黑体"/>
          <w:b/>
          <w:sz w:val="72"/>
          <w:szCs w:val="72"/>
        </w:rPr>
        <w:t>《新能源汽车运用与维修》</w:t>
      </w:r>
    </w:p>
    <w:p>
      <w:pPr>
        <w:spacing w:line="720" w:lineRule="auto"/>
        <w:ind w:right="1180"/>
        <w:jc w:val="center"/>
        <w:rPr>
          <w:rFonts w:ascii="黑体" w:eastAsia="黑体"/>
          <w:b/>
          <w:sz w:val="72"/>
          <w:szCs w:val="72"/>
        </w:rPr>
      </w:pPr>
      <w:r>
        <w:rPr>
          <w:rFonts w:hint="eastAsia" w:ascii="黑体" w:eastAsia="黑体"/>
          <w:b/>
          <w:sz w:val="72"/>
          <w:szCs w:val="72"/>
        </w:rPr>
        <w:t>专业人才培养方案</w:t>
      </w:r>
    </w:p>
    <w:p>
      <w:pPr>
        <w:spacing w:line="720" w:lineRule="auto"/>
        <w:ind w:right="1180"/>
        <w:rPr>
          <w:rFonts w:ascii="黑体" w:eastAsia="黑体"/>
          <w:b/>
          <w:szCs w:val="32"/>
        </w:rPr>
      </w:pPr>
    </w:p>
    <w:p>
      <w:pPr>
        <w:spacing w:line="720" w:lineRule="auto"/>
        <w:ind w:right="1180"/>
        <w:rPr>
          <w:rFonts w:ascii="黑体" w:eastAsia="黑体"/>
          <w:b/>
          <w:szCs w:val="32"/>
        </w:rPr>
      </w:pPr>
    </w:p>
    <w:p>
      <w:pPr>
        <w:spacing w:line="720" w:lineRule="auto"/>
        <w:ind w:right="1180"/>
        <w:rPr>
          <w:rFonts w:ascii="黑体" w:eastAsia="黑体"/>
          <w:b/>
          <w:szCs w:val="32"/>
        </w:rPr>
      </w:pPr>
    </w:p>
    <w:tbl>
      <w:tblPr>
        <w:tblStyle w:val="17"/>
        <w:tblW w:w="5634" w:type="dxa"/>
        <w:tblInd w:w="2021" w:type="dxa"/>
        <w:tblLayout w:type="fixed"/>
        <w:tblCellMar>
          <w:top w:w="0" w:type="dxa"/>
          <w:left w:w="0" w:type="dxa"/>
          <w:bottom w:w="0" w:type="dxa"/>
          <w:right w:w="0" w:type="dxa"/>
        </w:tblCellMar>
      </w:tblPr>
      <w:tblGrid>
        <w:gridCol w:w="453"/>
        <w:gridCol w:w="487"/>
        <w:gridCol w:w="486"/>
        <w:gridCol w:w="486"/>
        <w:gridCol w:w="796"/>
        <w:gridCol w:w="2926"/>
      </w:tblGrid>
      <w:tr>
        <w:tblPrEx>
          <w:tblCellMar>
            <w:top w:w="0" w:type="dxa"/>
            <w:left w:w="0" w:type="dxa"/>
            <w:bottom w:w="0" w:type="dxa"/>
            <w:right w:w="0" w:type="dxa"/>
          </w:tblCellMar>
        </w:tblPrEx>
        <w:trPr>
          <w:trHeight w:val="472" w:hRule="atLeast"/>
        </w:trPr>
        <w:tc>
          <w:tcPr>
            <w:tcW w:w="453" w:type="dxa"/>
            <w:vAlign w:val="center"/>
          </w:tcPr>
          <w:p>
            <w:pPr>
              <w:pStyle w:val="20"/>
              <w:spacing w:line="364" w:lineRule="exact"/>
              <w:ind w:right="33"/>
              <w:jc w:val="center"/>
            </w:pPr>
            <w:r>
              <w:rPr>
                <w:w w:val="99"/>
              </w:rPr>
              <w:t>专</w:t>
            </w:r>
          </w:p>
        </w:tc>
        <w:tc>
          <w:tcPr>
            <w:tcW w:w="487" w:type="dxa"/>
            <w:vAlign w:val="center"/>
          </w:tcPr>
          <w:p>
            <w:pPr>
              <w:pStyle w:val="20"/>
              <w:spacing w:line="364" w:lineRule="exact"/>
              <w:jc w:val="center"/>
            </w:pPr>
            <w:r>
              <w:rPr>
                <w:w w:val="99"/>
              </w:rPr>
              <w:t>业</w:t>
            </w:r>
          </w:p>
        </w:tc>
        <w:tc>
          <w:tcPr>
            <w:tcW w:w="486" w:type="dxa"/>
            <w:vAlign w:val="center"/>
          </w:tcPr>
          <w:p>
            <w:pPr>
              <w:pStyle w:val="20"/>
              <w:spacing w:line="364" w:lineRule="exact"/>
              <w:ind w:left="1"/>
              <w:jc w:val="center"/>
            </w:pPr>
            <w:r>
              <w:rPr>
                <w:w w:val="99"/>
              </w:rPr>
              <w:t>名</w:t>
            </w:r>
          </w:p>
        </w:tc>
        <w:tc>
          <w:tcPr>
            <w:tcW w:w="486" w:type="dxa"/>
            <w:vAlign w:val="center"/>
          </w:tcPr>
          <w:p>
            <w:pPr>
              <w:pStyle w:val="20"/>
              <w:spacing w:line="364" w:lineRule="exact"/>
              <w:jc w:val="center"/>
            </w:pPr>
            <w:r>
              <w:rPr>
                <w:w w:val="99"/>
              </w:rPr>
              <w:t>称</w:t>
            </w:r>
          </w:p>
        </w:tc>
        <w:tc>
          <w:tcPr>
            <w:tcW w:w="796" w:type="dxa"/>
            <w:vAlign w:val="center"/>
          </w:tcPr>
          <w:p>
            <w:pPr>
              <w:pStyle w:val="20"/>
              <w:spacing w:line="364" w:lineRule="exact"/>
              <w:ind w:left="84"/>
              <w:jc w:val="center"/>
            </w:pPr>
            <w:r>
              <w:rPr>
                <w:w w:val="99"/>
              </w:rPr>
              <w:t>：</w:t>
            </w:r>
          </w:p>
        </w:tc>
        <w:tc>
          <w:tcPr>
            <w:tcW w:w="2926" w:type="dxa"/>
            <w:vAlign w:val="center"/>
          </w:tcPr>
          <w:p>
            <w:pPr>
              <w:pStyle w:val="20"/>
              <w:spacing w:line="364" w:lineRule="exact"/>
              <w:jc w:val="center"/>
              <w:rPr>
                <w:rFonts w:ascii="仿宋" w:eastAsia="仿宋"/>
                <w:sz w:val="28"/>
                <w:szCs w:val="28"/>
              </w:rPr>
            </w:pPr>
            <w:r>
              <w:rPr>
                <w:rFonts w:hint="eastAsia" w:ascii="仿宋" w:eastAsia="仿宋"/>
                <w:sz w:val="28"/>
                <w:szCs w:val="28"/>
              </w:rPr>
              <w:t>新能源汽车运用与维修</w:t>
            </w:r>
          </w:p>
        </w:tc>
      </w:tr>
      <w:tr>
        <w:tblPrEx>
          <w:tblCellMar>
            <w:top w:w="0" w:type="dxa"/>
            <w:left w:w="0" w:type="dxa"/>
            <w:bottom w:w="0" w:type="dxa"/>
            <w:right w:w="0" w:type="dxa"/>
          </w:tblCellMar>
        </w:tblPrEx>
        <w:trPr>
          <w:trHeight w:val="653" w:hRule="atLeast"/>
        </w:trPr>
        <w:tc>
          <w:tcPr>
            <w:tcW w:w="453" w:type="dxa"/>
            <w:vAlign w:val="center"/>
          </w:tcPr>
          <w:p>
            <w:pPr>
              <w:pStyle w:val="20"/>
              <w:spacing w:before="117"/>
              <w:ind w:right="33"/>
              <w:jc w:val="center"/>
            </w:pPr>
            <w:r>
              <w:rPr>
                <w:w w:val="99"/>
              </w:rPr>
              <w:t>专</w:t>
            </w:r>
          </w:p>
        </w:tc>
        <w:tc>
          <w:tcPr>
            <w:tcW w:w="487" w:type="dxa"/>
            <w:vAlign w:val="center"/>
          </w:tcPr>
          <w:p>
            <w:pPr>
              <w:pStyle w:val="20"/>
              <w:spacing w:before="117"/>
              <w:jc w:val="center"/>
            </w:pPr>
            <w:r>
              <w:rPr>
                <w:w w:val="99"/>
              </w:rPr>
              <w:t>业</w:t>
            </w:r>
          </w:p>
        </w:tc>
        <w:tc>
          <w:tcPr>
            <w:tcW w:w="486" w:type="dxa"/>
            <w:vAlign w:val="center"/>
          </w:tcPr>
          <w:p>
            <w:pPr>
              <w:pStyle w:val="20"/>
              <w:spacing w:before="117"/>
              <w:ind w:left="1"/>
              <w:jc w:val="center"/>
            </w:pPr>
            <w:r>
              <w:rPr>
                <w:w w:val="99"/>
              </w:rPr>
              <w:t>代</w:t>
            </w:r>
          </w:p>
        </w:tc>
        <w:tc>
          <w:tcPr>
            <w:tcW w:w="486" w:type="dxa"/>
            <w:vAlign w:val="center"/>
          </w:tcPr>
          <w:p>
            <w:pPr>
              <w:pStyle w:val="20"/>
              <w:spacing w:before="117"/>
              <w:jc w:val="center"/>
            </w:pPr>
            <w:r>
              <w:rPr>
                <w:w w:val="99"/>
              </w:rPr>
              <w:t>码</w:t>
            </w:r>
          </w:p>
        </w:tc>
        <w:tc>
          <w:tcPr>
            <w:tcW w:w="796" w:type="dxa"/>
            <w:vAlign w:val="center"/>
          </w:tcPr>
          <w:p>
            <w:pPr>
              <w:pStyle w:val="20"/>
              <w:spacing w:before="117"/>
              <w:ind w:left="84"/>
              <w:jc w:val="center"/>
            </w:pPr>
            <w:r>
              <w:rPr>
                <w:w w:val="99"/>
              </w:rPr>
              <w:t>：</w:t>
            </w:r>
          </w:p>
        </w:tc>
        <w:tc>
          <w:tcPr>
            <w:tcW w:w="2926" w:type="dxa"/>
            <w:vAlign w:val="center"/>
          </w:tcPr>
          <w:p>
            <w:pPr>
              <w:pStyle w:val="20"/>
              <w:spacing w:before="139"/>
              <w:jc w:val="center"/>
              <w:rPr>
                <w:rFonts w:ascii="Times New Roman"/>
              </w:rPr>
            </w:pPr>
            <w:r>
              <w:rPr>
                <w:rFonts w:hint="eastAsia" w:ascii="Times New Roman"/>
              </w:rPr>
              <w:t>700209</w:t>
            </w:r>
          </w:p>
        </w:tc>
      </w:tr>
      <w:tr>
        <w:tblPrEx>
          <w:tblCellMar>
            <w:top w:w="0" w:type="dxa"/>
            <w:left w:w="0" w:type="dxa"/>
            <w:bottom w:w="0" w:type="dxa"/>
            <w:right w:w="0" w:type="dxa"/>
          </w:tblCellMar>
        </w:tblPrEx>
        <w:trPr>
          <w:trHeight w:val="623" w:hRule="atLeast"/>
        </w:trPr>
        <w:tc>
          <w:tcPr>
            <w:tcW w:w="453" w:type="dxa"/>
            <w:vAlign w:val="center"/>
          </w:tcPr>
          <w:p>
            <w:pPr>
              <w:pStyle w:val="20"/>
              <w:spacing w:before="100"/>
              <w:ind w:right="33"/>
              <w:jc w:val="center"/>
            </w:pPr>
            <w:r>
              <w:rPr>
                <w:w w:val="99"/>
              </w:rPr>
              <w:t>适</w:t>
            </w:r>
          </w:p>
        </w:tc>
        <w:tc>
          <w:tcPr>
            <w:tcW w:w="487" w:type="dxa"/>
            <w:vAlign w:val="center"/>
          </w:tcPr>
          <w:p>
            <w:pPr>
              <w:pStyle w:val="20"/>
              <w:spacing w:before="100"/>
              <w:jc w:val="center"/>
            </w:pPr>
            <w:r>
              <w:rPr>
                <w:w w:val="99"/>
              </w:rPr>
              <w:t>用</w:t>
            </w:r>
          </w:p>
        </w:tc>
        <w:tc>
          <w:tcPr>
            <w:tcW w:w="486" w:type="dxa"/>
            <w:vAlign w:val="center"/>
          </w:tcPr>
          <w:p>
            <w:pPr>
              <w:pStyle w:val="20"/>
              <w:spacing w:before="100"/>
              <w:ind w:left="1"/>
              <w:jc w:val="center"/>
            </w:pPr>
            <w:r>
              <w:rPr>
                <w:w w:val="99"/>
              </w:rPr>
              <w:t>年</w:t>
            </w:r>
          </w:p>
        </w:tc>
        <w:tc>
          <w:tcPr>
            <w:tcW w:w="486" w:type="dxa"/>
            <w:vAlign w:val="center"/>
          </w:tcPr>
          <w:p>
            <w:pPr>
              <w:pStyle w:val="20"/>
              <w:spacing w:before="100"/>
              <w:jc w:val="center"/>
            </w:pPr>
            <w:r>
              <w:rPr>
                <w:w w:val="99"/>
              </w:rPr>
              <w:t>级</w:t>
            </w:r>
          </w:p>
        </w:tc>
        <w:tc>
          <w:tcPr>
            <w:tcW w:w="796" w:type="dxa"/>
            <w:vAlign w:val="center"/>
          </w:tcPr>
          <w:p>
            <w:pPr>
              <w:pStyle w:val="20"/>
              <w:spacing w:before="100"/>
              <w:ind w:left="84"/>
              <w:jc w:val="center"/>
            </w:pPr>
            <w:r>
              <w:rPr>
                <w:w w:val="99"/>
              </w:rPr>
              <w:t>：</w:t>
            </w:r>
          </w:p>
        </w:tc>
        <w:tc>
          <w:tcPr>
            <w:tcW w:w="2926" w:type="dxa"/>
            <w:vAlign w:val="center"/>
          </w:tcPr>
          <w:p>
            <w:pPr>
              <w:pStyle w:val="20"/>
              <w:spacing w:before="100"/>
              <w:jc w:val="center"/>
              <w:rPr>
                <w:rFonts w:ascii="仿宋" w:eastAsia="仿宋"/>
              </w:rPr>
            </w:pPr>
            <w:r>
              <w:rPr>
                <w:rFonts w:hint="eastAsia" w:ascii="仿宋" w:eastAsia="仿宋"/>
              </w:rPr>
              <w:t>202</w:t>
            </w:r>
            <w:r>
              <w:rPr>
                <w:rFonts w:hint="eastAsia" w:ascii="仿宋" w:eastAsia="仿宋"/>
                <w:lang w:val="en-US"/>
              </w:rPr>
              <w:t>4届</w:t>
            </w:r>
          </w:p>
        </w:tc>
      </w:tr>
      <w:tr>
        <w:tblPrEx>
          <w:tblCellMar>
            <w:top w:w="0" w:type="dxa"/>
            <w:left w:w="0" w:type="dxa"/>
            <w:bottom w:w="0" w:type="dxa"/>
            <w:right w:w="0" w:type="dxa"/>
          </w:tblCellMar>
        </w:tblPrEx>
        <w:trPr>
          <w:trHeight w:val="477" w:hRule="atLeast"/>
        </w:trPr>
        <w:tc>
          <w:tcPr>
            <w:tcW w:w="453" w:type="dxa"/>
            <w:vAlign w:val="center"/>
          </w:tcPr>
          <w:p>
            <w:pPr>
              <w:pStyle w:val="20"/>
              <w:spacing w:before="112" w:line="345" w:lineRule="exact"/>
              <w:ind w:right="33"/>
              <w:jc w:val="center"/>
            </w:pPr>
            <w:r>
              <w:rPr>
                <w:w w:val="99"/>
              </w:rPr>
              <w:t>所</w:t>
            </w:r>
          </w:p>
        </w:tc>
        <w:tc>
          <w:tcPr>
            <w:tcW w:w="487" w:type="dxa"/>
            <w:vAlign w:val="center"/>
          </w:tcPr>
          <w:p>
            <w:pPr>
              <w:pStyle w:val="20"/>
              <w:spacing w:before="112" w:line="345" w:lineRule="exact"/>
              <w:jc w:val="center"/>
            </w:pPr>
            <w:r>
              <w:rPr>
                <w:w w:val="99"/>
              </w:rPr>
              <w:t>属</w:t>
            </w:r>
          </w:p>
        </w:tc>
        <w:tc>
          <w:tcPr>
            <w:tcW w:w="486" w:type="dxa"/>
            <w:vAlign w:val="center"/>
          </w:tcPr>
          <w:p>
            <w:pPr>
              <w:pStyle w:val="20"/>
              <w:spacing w:before="112" w:line="345" w:lineRule="exact"/>
              <w:ind w:left="1"/>
              <w:jc w:val="center"/>
            </w:pPr>
            <w:r>
              <w:rPr>
                <w:rFonts w:hint="eastAsia"/>
                <w:w w:val="99"/>
                <w:lang w:val="en-US"/>
              </w:rPr>
              <w:t>部</w:t>
            </w:r>
          </w:p>
        </w:tc>
        <w:tc>
          <w:tcPr>
            <w:tcW w:w="486" w:type="dxa"/>
            <w:vAlign w:val="center"/>
          </w:tcPr>
          <w:p>
            <w:pPr>
              <w:pStyle w:val="20"/>
              <w:spacing w:before="112" w:line="345" w:lineRule="exact"/>
              <w:jc w:val="center"/>
              <w:rPr>
                <w:lang w:val="en-US"/>
              </w:rPr>
            </w:pPr>
            <w:r>
              <w:rPr>
                <w:rFonts w:hint="eastAsia"/>
                <w:lang w:val="en-US"/>
              </w:rPr>
              <w:t>门</w:t>
            </w:r>
          </w:p>
        </w:tc>
        <w:tc>
          <w:tcPr>
            <w:tcW w:w="796" w:type="dxa"/>
            <w:vAlign w:val="center"/>
          </w:tcPr>
          <w:p>
            <w:pPr>
              <w:pStyle w:val="20"/>
              <w:spacing w:before="112" w:line="345" w:lineRule="exact"/>
              <w:ind w:left="84"/>
              <w:jc w:val="center"/>
            </w:pPr>
            <w:r>
              <w:rPr>
                <w:w w:val="99"/>
              </w:rPr>
              <w:t>：</w:t>
            </w:r>
          </w:p>
        </w:tc>
        <w:tc>
          <w:tcPr>
            <w:tcW w:w="2926" w:type="dxa"/>
            <w:vAlign w:val="center"/>
          </w:tcPr>
          <w:p>
            <w:pPr>
              <w:pStyle w:val="20"/>
              <w:spacing w:before="112" w:line="345" w:lineRule="exact"/>
              <w:jc w:val="center"/>
              <w:rPr>
                <w:rFonts w:ascii="仿宋" w:eastAsia="仿宋"/>
              </w:rPr>
            </w:pPr>
            <w:r>
              <w:rPr>
                <w:rFonts w:hint="eastAsia" w:ascii="仿宋" w:eastAsia="仿宋"/>
                <w:lang w:val="en-US"/>
              </w:rPr>
              <w:t>汽车工程系</w:t>
            </w:r>
          </w:p>
        </w:tc>
      </w:tr>
    </w:tbl>
    <w:p>
      <w:pPr>
        <w:tabs>
          <w:tab w:val="left" w:pos="5392"/>
        </w:tabs>
        <w:spacing w:before="54"/>
        <w:jc w:val="left"/>
        <w:rPr>
          <w:spacing w:val="-65"/>
        </w:rPr>
      </w:pPr>
    </w:p>
    <w:p>
      <w:pPr>
        <w:tabs>
          <w:tab w:val="left" w:pos="5392"/>
        </w:tabs>
        <w:spacing w:before="54"/>
        <w:jc w:val="left"/>
        <w:rPr>
          <w:spacing w:val="-65"/>
        </w:rPr>
      </w:pPr>
    </w:p>
    <w:p>
      <w:pPr>
        <w:tabs>
          <w:tab w:val="left" w:pos="5392"/>
        </w:tabs>
        <w:spacing w:before="54"/>
        <w:jc w:val="center"/>
        <w:rPr>
          <w:rFonts w:ascii="仿宋" w:eastAsia="仿宋"/>
        </w:rPr>
      </w:pPr>
      <w:r>
        <w:rPr>
          <w:spacing w:val="-65"/>
        </w:rPr>
        <w:t>修</w:t>
      </w:r>
      <w:r>
        <w:t>（制</w:t>
      </w:r>
      <w:r>
        <w:rPr>
          <w:spacing w:val="-65"/>
        </w:rPr>
        <w:t>）</w:t>
      </w:r>
      <w:r>
        <w:t>订时间：</w:t>
      </w:r>
      <w:r>
        <w:rPr>
          <w:rFonts w:hint="eastAsia" w:ascii="仿宋" w:eastAsia="仿宋"/>
        </w:rPr>
        <w:t>2021</w:t>
      </w:r>
      <w:r>
        <w:rPr>
          <w:rFonts w:hint="eastAsia" w:ascii="仿宋" w:eastAsia="仿宋"/>
          <w:spacing w:val="-83"/>
        </w:rPr>
        <w:t xml:space="preserve"> </w:t>
      </w:r>
      <w:r>
        <w:rPr>
          <w:rFonts w:hint="eastAsia" w:ascii="仿宋" w:eastAsia="仿宋"/>
        </w:rPr>
        <w:t>年</w:t>
      </w:r>
      <w:r>
        <w:rPr>
          <w:rFonts w:hint="eastAsia" w:ascii="仿宋" w:eastAsia="仿宋"/>
          <w:spacing w:val="-79"/>
        </w:rPr>
        <w:t xml:space="preserve"> </w:t>
      </w:r>
      <w:r>
        <w:rPr>
          <w:rFonts w:hint="eastAsia" w:ascii="仿宋" w:eastAsia="仿宋"/>
        </w:rPr>
        <w:t>8</w:t>
      </w:r>
      <w:r>
        <w:rPr>
          <w:rFonts w:hint="eastAsia" w:ascii="仿宋" w:eastAsia="仿宋"/>
          <w:spacing w:val="-80"/>
        </w:rPr>
        <w:t xml:space="preserve"> </w:t>
      </w:r>
      <w:r>
        <w:rPr>
          <w:rFonts w:hint="eastAsia" w:ascii="仿宋" w:eastAsia="仿宋"/>
        </w:rPr>
        <w:t>月</w:t>
      </w:r>
    </w:p>
    <w:p/>
    <w:p>
      <w:pPr>
        <w:sectPr>
          <w:pgSz w:w="11906" w:h="16838"/>
          <w:pgMar w:top="1134" w:right="1134" w:bottom="1134" w:left="1134" w:header="851" w:footer="992" w:gutter="0"/>
          <w:cols w:space="0" w:num="1"/>
          <w:docGrid w:type="lines" w:linePitch="312" w:charSpace="0"/>
        </w:sectPr>
      </w:pPr>
    </w:p>
    <w:p>
      <w:pPr>
        <w:jc w:val="center"/>
        <w:rPr>
          <w:sz w:val="44"/>
          <w:szCs w:val="44"/>
        </w:rPr>
      </w:pPr>
      <w:r>
        <w:rPr>
          <w:rFonts w:hint="eastAsia"/>
          <w:b/>
          <w:bCs/>
          <w:sz w:val="44"/>
          <w:szCs w:val="44"/>
        </w:rPr>
        <w:t>目录</w:t>
      </w:r>
    </w:p>
    <w:p>
      <w:pPr>
        <w:pStyle w:val="11"/>
        <w:tabs>
          <w:tab w:val="right" w:leader="dot" w:pos="9638"/>
        </w:tabs>
        <w:spacing w:line="500" w:lineRule="exact"/>
        <w:rPr>
          <w:kern w:val="44"/>
          <w:sz w:val="28"/>
          <w:szCs w:val="28"/>
        </w:rPr>
      </w:pPr>
      <w:bookmarkStart w:id="0" w:name="_Toc17653"/>
      <w:bookmarkStart w:id="1" w:name="_Toc32493"/>
      <w:r>
        <w:rPr>
          <w:rFonts w:hint="eastAsia" w:ascii="仿宋_GB2312" w:hAnsi="仿宋_GB2312" w:cs="仿宋_GB2312"/>
          <w:sz w:val="28"/>
          <w:szCs w:val="28"/>
        </w:rPr>
        <w:fldChar w:fldCharType="begin"/>
      </w:r>
      <w:r>
        <w:rPr>
          <w:rFonts w:hint="eastAsia" w:ascii="仿宋_GB2312" w:hAnsi="仿宋_GB2312" w:cs="仿宋_GB2312"/>
          <w:sz w:val="28"/>
          <w:szCs w:val="28"/>
        </w:rPr>
        <w:instrText xml:space="preserve">TOC \o "1-2" \h \u </w:instrText>
      </w:r>
      <w:r>
        <w:rPr>
          <w:rFonts w:hint="eastAsia" w:ascii="仿宋_GB2312" w:hAnsi="仿宋_GB2312" w:cs="仿宋_GB2312"/>
          <w:sz w:val="28"/>
          <w:szCs w:val="28"/>
        </w:rPr>
        <w:fldChar w:fldCharType="separate"/>
      </w:r>
      <w:r>
        <w:fldChar w:fldCharType="begin"/>
      </w:r>
      <w:r>
        <w:instrText xml:space="preserve"> HYPERLINK \l "_Toc29315" </w:instrText>
      </w:r>
      <w:r>
        <w:fldChar w:fldCharType="separate"/>
      </w:r>
      <w:r>
        <w:rPr>
          <w:rFonts w:hint="eastAsia" w:ascii="仿宋_GB2312" w:hAnsi="仿宋_GB2312" w:cs="仿宋_GB2312"/>
          <w:kern w:val="44"/>
          <w:sz w:val="28"/>
          <w:szCs w:val="28"/>
        </w:rPr>
        <w:t>一、专业名称（专业代码）</w:t>
      </w:r>
      <w:r>
        <w:rPr>
          <w:kern w:val="44"/>
          <w:sz w:val="28"/>
          <w:szCs w:val="28"/>
        </w:rPr>
        <w:tab/>
      </w:r>
      <w:r>
        <w:rPr>
          <w:kern w:val="44"/>
          <w:sz w:val="28"/>
          <w:szCs w:val="28"/>
        </w:rPr>
        <w:fldChar w:fldCharType="begin"/>
      </w:r>
      <w:r>
        <w:rPr>
          <w:kern w:val="44"/>
          <w:sz w:val="28"/>
          <w:szCs w:val="28"/>
        </w:rPr>
        <w:instrText xml:space="preserve"> PAGEREF _Toc29315 </w:instrText>
      </w:r>
      <w:r>
        <w:rPr>
          <w:kern w:val="44"/>
          <w:sz w:val="28"/>
          <w:szCs w:val="28"/>
        </w:rPr>
        <w:fldChar w:fldCharType="separate"/>
      </w:r>
      <w:r>
        <w:rPr>
          <w:kern w:val="44"/>
          <w:sz w:val="28"/>
          <w:szCs w:val="28"/>
        </w:rPr>
        <w:t>1</w:t>
      </w:r>
      <w:r>
        <w:rPr>
          <w:kern w:val="44"/>
          <w:sz w:val="28"/>
          <w:szCs w:val="28"/>
        </w:rPr>
        <w:fldChar w:fldCharType="end"/>
      </w:r>
      <w:r>
        <w:rPr>
          <w:kern w:val="44"/>
          <w:sz w:val="28"/>
          <w:szCs w:val="28"/>
        </w:rPr>
        <w:fldChar w:fldCharType="end"/>
      </w:r>
    </w:p>
    <w:p>
      <w:pPr>
        <w:pStyle w:val="11"/>
        <w:tabs>
          <w:tab w:val="right" w:leader="dot" w:pos="9638"/>
        </w:tabs>
        <w:spacing w:line="500" w:lineRule="exact"/>
        <w:rPr>
          <w:kern w:val="44"/>
          <w:sz w:val="28"/>
          <w:szCs w:val="28"/>
        </w:rPr>
      </w:pPr>
      <w:r>
        <w:fldChar w:fldCharType="begin"/>
      </w:r>
      <w:r>
        <w:instrText xml:space="preserve"> HYPERLINK \l "_Toc14981" </w:instrText>
      </w:r>
      <w:r>
        <w:fldChar w:fldCharType="separate"/>
      </w:r>
      <w:r>
        <w:rPr>
          <w:rFonts w:hint="eastAsia" w:ascii="仿宋_GB2312" w:hAnsi="仿宋_GB2312" w:cs="仿宋_GB2312"/>
          <w:kern w:val="44"/>
          <w:sz w:val="28"/>
          <w:szCs w:val="28"/>
        </w:rPr>
        <w:t>二、入学要求</w:t>
      </w:r>
      <w:r>
        <w:rPr>
          <w:kern w:val="44"/>
          <w:sz w:val="28"/>
          <w:szCs w:val="28"/>
        </w:rPr>
        <w:tab/>
      </w:r>
      <w:r>
        <w:rPr>
          <w:kern w:val="44"/>
          <w:sz w:val="28"/>
          <w:szCs w:val="28"/>
        </w:rPr>
        <w:fldChar w:fldCharType="begin"/>
      </w:r>
      <w:r>
        <w:rPr>
          <w:kern w:val="44"/>
          <w:sz w:val="28"/>
          <w:szCs w:val="28"/>
        </w:rPr>
        <w:instrText xml:space="preserve"> PAGEREF _Toc14981 </w:instrText>
      </w:r>
      <w:r>
        <w:rPr>
          <w:kern w:val="44"/>
          <w:sz w:val="28"/>
          <w:szCs w:val="28"/>
        </w:rPr>
        <w:fldChar w:fldCharType="separate"/>
      </w:r>
      <w:r>
        <w:rPr>
          <w:kern w:val="44"/>
          <w:sz w:val="28"/>
          <w:szCs w:val="28"/>
        </w:rPr>
        <w:t>1</w:t>
      </w:r>
      <w:r>
        <w:rPr>
          <w:kern w:val="44"/>
          <w:sz w:val="28"/>
          <w:szCs w:val="28"/>
        </w:rPr>
        <w:fldChar w:fldCharType="end"/>
      </w:r>
      <w:r>
        <w:rPr>
          <w:kern w:val="44"/>
          <w:sz w:val="28"/>
          <w:szCs w:val="28"/>
        </w:rPr>
        <w:fldChar w:fldCharType="end"/>
      </w:r>
    </w:p>
    <w:p>
      <w:pPr>
        <w:pStyle w:val="11"/>
        <w:tabs>
          <w:tab w:val="right" w:leader="dot" w:pos="9638"/>
        </w:tabs>
        <w:spacing w:line="500" w:lineRule="exact"/>
        <w:rPr>
          <w:kern w:val="44"/>
          <w:sz w:val="28"/>
          <w:szCs w:val="28"/>
        </w:rPr>
      </w:pPr>
      <w:r>
        <w:fldChar w:fldCharType="begin"/>
      </w:r>
      <w:r>
        <w:instrText xml:space="preserve"> HYPERLINK \l "_Toc14218" </w:instrText>
      </w:r>
      <w:r>
        <w:fldChar w:fldCharType="separate"/>
      </w:r>
      <w:r>
        <w:rPr>
          <w:rFonts w:hint="eastAsia" w:ascii="仿宋_GB2312" w:hAnsi="仿宋_GB2312" w:cs="仿宋_GB2312"/>
          <w:kern w:val="44"/>
          <w:sz w:val="28"/>
          <w:szCs w:val="28"/>
        </w:rPr>
        <w:t>三、修业年限</w:t>
      </w:r>
      <w:r>
        <w:rPr>
          <w:kern w:val="44"/>
          <w:sz w:val="28"/>
          <w:szCs w:val="28"/>
        </w:rPr>
        <w:tab/>
      </w:r>
      <w:r>
        <w:rPr>
          <w:kern w:val="44"/>
          <w:sz w:val="28"/>
          <w:szCs w:val="28"/>
        </w:rPr>
        <w:fldChar w:fldCharType="begin"/>
      </w:r>
      <w:r>
        <w:rPr>
          <w:kern w:val="44"/>
          <w:sz w:val="28"/>
          <w:szCs w:val="28"/>
        </w:rPr>
        <w:instrText xml:space="preserve"> PAGEREF _Toc14218 </w:instrText>
      </w:r>
      <w:r>
        <w:rPr>
          <w:kern w:val="44"/>
          <w:sz w:val="28"/>
          <w:szCs w:val="28"/>
        </w:rPr>
        <w:fldChar w:fldCharType="separate"/>
      </w:r>
      <w:r>
        <w:rPr>
          <w:kern w:val="44"/>
          <w:sz w:val="28"/>
          <w:szCs w:val="28"/>
        </w:rPr>
        <w:t>1</w:t>
      </w:r>
      <w:r>
        <w:rPr>
          <w:kern w:val="44"/>
          <w:sz w:val="28"/>
          <w:szCs w:val="28"/>
        </w:rPr>
        <w:fldChar w:fldCharType="end"/>
      </w:r>
      <w:r>
        <w:rPr>
          <w:kern w:val="44"/>
          <w:sz w:val="28"/>
          <w:szCs w:val="28"/>
        </w:rPr>
        <w:fldChar w:fldCharType="end"/>
      </w:r>
    </w:p>
    <w:p>
      <w:pPr>
        <w:pStyle w:val="11"/>
        <w:tabs>
          <w:tab w:val="right" w:leader="dot" w:pos="9638"/>
        </w:tabs>
        <w:spacing w:line="500" w:lineRule="exact"/>
        <w:rPr>
          <w:kern w:val="44"/>
          <w:sz w:val="28"/>
          <w:szCs w:val="28"/>
        </w:rPr>
      </w:pPr>
      <w:r>
        <w:fldChar w:fldCharType="begin"/>
      </w:r>
      <w:r>
        <w:instrText xml:space="preserve"> HYPERLINK \l "_Toc12939" </w:instrText>
      </w:r>
      <w:r>
        <w:fldChar w:fldCharType="separate"/>
      </w:r>
      <w:r>
        <w:rPr>
          <w:rFonts w:hint="eastAsia" w:ascii="仿宋_GB2312" w:hAnsi="仿宋_GB2312" w:cs="仿宋_GB2312"/>
          <w:kern w:val="44"/>
          <w:sz w:val="28"/>
          <w:szCs w:val="28"/>
        </w:rPr>
        <w:t>四、职业面向和接续专业</w:t>
      </w:r>
      <w:r>
        <w:rPr>
          <w:kern w:val="44"/>
          <w:sz w:val="28"/>
          <w:szCs w:val="28"/>
        </w:rPr>
        <w:tab/>
      </w:r>
      <w:r>
        <w:rPr>
          <w:kern w:val="44"/>
          <w:sz w:val="28"/>
          <w:szCs w:val="28"/>
        </w:rPr>
        <w:fldChar w:fldCharType="begin"/>
      </w:r>
      <w:r>
        <w:rPr>
          <w:kern w:val="44"/>
          <w:sz w:val="28"/>
          <w:szCs w:val="28"/>
        </w:rPr>
        <w:instrText xml:space="preserve"> PAGEREF _Toc12939 </w:instrText>
      </w:r>
      <w:r>
        <w:rPr>
          <w:kern w:val="44"/>
          <w:sz w:val="28"/>
          <w:szCs w:val="28"/>
        </w:rPr>
        <w:fldChar w:fldCharType="separate"/>
      </w:r>
      <w:r>
        <w:rPr>
          <w:kern w:val="44"/>
          <w:sz w:val="28"/>
          <w:szCs w:val="28"/>
        </w:rPr>
        <w:t>1</w:t>
      </w:r>
      <w:r>
        <w:rPr>
          <w:kern w:val="44"/>
          <w:sz w:val="28"/>
          <w:szCs w:val="28"/>
        </w:rPr>
        <w:fldChar w:fldCharType="end"/>
      </w:r>
      <w:r>
        <w:rPr>
          <w:kern w:val="44"/>
          <w:sz w:val="28"/>
          <w:szCs w:val="28"/>
        </w:rPr>
        <w:fldChar w:fldCharType="end"/>
      </w:r>
    </w:p>
    <w:p>
      <w:pPr>
        <w:pStyle w:val="14"/>
        <w:tabs>
          <w:tab w:val="right" w:leader="dot" w:pos="9638"/>
        </w:tabs>
        <w:spacing w:line="500" w:lineRule="exact"/>
        <w:ind w:left="640"/>
        <w:rPr>
          <w:kern w:val="44"/>
          <w:sz w:val="28"/>
          <w:szCs w:val="28"/>
        </w:rPr>
      </w:pPr>
      <w:r>
        <w:fldChar w:fldCharType="begin"/>
      </w:r>
      <w:r>
        <w:instrText xml:space="preserve"> HYPERLINK \l "_Toc22472" </w:instrText>
      </w:r>
      <w:r>
        <w:fldChar w:fldCharType="separate"/>
      </w:r>
      <w:r>
        <w:rPr>
          <w:rFonts w:hint="eastAsia" w:ascii="仿宋_GB2312" w:hAnsi="仿宋_GB2312" w:cs="仿宋_GB2312"/>
          <w:kern w:val="44"/>
          <w:sz w:val="28"/>
          <w:szCs w:val="28"/>
        </w:rPr>
        <w:t>（一</w:t>
      </w:r>
      <w:r>
        <w:rPr>
          <w:rFonts w:hint="eastAsia" w:ascii="仿宋_GB2312" w:hAnsi="仿宋_GB2312" w:cs="仿宋_GB2312"/>
          <w:kern w:val="44"/>
          <w:sz w:val="28"/>
          <w:szCs w:val="28"/>
          <w:lang w:val="zh-CN"/>
        </w:rPr>
        <w:t>）职</w:t>
      </w:r>
      <w:r>
        <w:rPr>
          <w:rFonts w:hint="eastAsia" w:ascii="仿宋_GB2312" w:hAnsi="仿宋_GB2312" w:cs="仿宋_GB2312"/>
          <w:kern w:val="44"/>
          <w:sz w:val="28"/>
          <w:szCs w:val="28"/>
        </w:rPr>
        <w:t>业面向</w:t>
      </w:r>
      <w:r>
        <w:rPr>
          <w:kern w:val="44"/>
          <w:sz w:val="28"/>
          <w:szCs w:val="28"/>
        </w:rPr>
        <w:tab/>
      </w:r>
      <w:r>
        <w:rPr>
          <w:kern w:val="44"/>
          <w:sz w:val="28"/>
          <w:szCs w:val="28"/>
        </w:rPr>
        <w:fldChar w:fldCharType="begin"/>
      </w:r>
      <w:r>
        <w:rPr>
          <w:kern w:val="44"/>
          <w:sz w:val="28"/>
          <w:szCs w:val="28"/>
        </w:rPr>
        <w:instrText xml:space="preserve"> PAGEREF _Toc22472 </w:instrText>
      </w:r>
      <w:r>
        <w:rPr>
          <w:kern w:val="44"/>
          <w:sz w:val="28"/>
          <w:szCs w:val="28"/>
        </w:rPr>
        <w:fldChar w:fldCharType="separate"/>
      </w:r>
      <w:r>
        <w:rPr>
          <w:kern w:val="44"/>
          <w:sz w:val="28"/>
          <w:szCs w:val="28"/>
        </w:rPr>
        <w:t>1</w:t>
      </w:r>
      <w:r>
        <w:rPr>
          <w:kern w:val="44"/>
          <w:sz w:val="28"/>
          <w:szCs w:val="28"/>
        </w:rPr>
        <w:fldChar w:fldCharType="end"/>
      </w:r>
      <w:r>
        <w:rPr>
          <w:kern w:val="44"/>
          <w:sz w:val="28"/>
          <w:szCs w:val="28"/>
        </w:rPr>
        <w:fldChar w:fldCharType="end"/>
      </w:r>
    </w:p>
    <w:p>
      <w:pPr>
        <w:pStyle w:val="14"/>
        <w:tabs>
          <w:tab w:val="right" w:leader="dot" w:pos="9638"/>
        </w:tabs>
        <w:spacing w:line="500" w:lineRule="exact"/>
        <w:ind w:left="640"/>
        <w:rPr>
          <w:kern w:val="44"/>
          <w:sz w:val="28"/>
          <w:szCs w:val="28"/>
        </w:rPr>
      </w:pPr>
      <w:r>
        <w:fldChar w:fldCharType="begin"/>
      </w:r>
      <w:r>
        <w:instrText xml:space="preserve"> HYPERLINK \l "_Toc8197" </w:instrText>
      </w:r>
      <w:r>
        <w:fldChar w:fldCharType="separate"/>
      </w:r>
      <w:r>
        <w:rPr>
          <w:rFonts w:hint="eastAsia" w:ascii="仿宋_GB2312" w:hAnsi="仿宋_GB2312" w:cs="仿宋_GB2312"/>
          <w:kern w:val="44"/>
          <w:sz w:val="28"/>
          <w:szCs w:val="28"/>
        </w:rPr>
        <w:t>（二</w:t>
      </w:r>
      <w:r>
        <w:rPr>
          <w:rFonts w:hint="eastAsia" w:ascii="仿宋_GB2312" w:hAnsi="仿宋_GB2312" w:cs="仿宋_GB2312"/>
          <w:kern w:val="44"/>
          <w:sz w:val="28"/>
          <w:szCs w:val="28"/>
          <w:lang w:val="zh-CN"/>
        </w:rPr>
        <w:t>）接</w:t>
      </w:r>
      <w:r>
        <w:rPr>
          <w:rFonts w:hint="eastAsia" w:ascii="仿宋_GB2312" w:hAnsi="仿宋_GB2312" w:cs="仿宋_GB2312"/>
          <w:kern w:val="44"/>
          <w:sz w:val="28"/>
          <w:szCs w:val="28"/>
        </w:rPr>
        <w:t>续专业</w:t>
      </w:r>
      <w:r>
        <w:rPr>
          <w:kern w:val="44"/>
          <w:sz w:val="28"/>
          <w:szCs w:val="28"/>
        </w:rPr>
        <w:tab/>
      </w:r>
      <w:r>
        <w:rPr>
          <w:kern w:val="44"/>
          <w:sz w:val="28"/>
          <w:szCs w:val="28"/>
        </w:rPr>
        <w:fldChar w:fldCharType="begin"/>
      </w:r>
      <w:r>
        <w:rPr>
          <w:kern w:val="44"/>
          <w:sz w:val="28"/>
          <w:szCs w:val="28"/>
        </w:rPr>
        <w:instrText xml:space="preserve"> PAGEREF _Toc8197 </w:instrText>
      </w:r>
      <w:r>
        <w:rPr>
          <w:kern w:val="44"/>
          <w:sz w:val="28"/>
          <w:szCs w:val="28"/>
        </w:rPr>
        <w:fldChar w:fldCharType="separate"/>
      </w:r>
      <w:r>
        <w:rPr>
          <w:kern w:val="44"/>
          <w:sz w:val="28"/>
          <w:szCs w:val="28"/>
        </w:rPr>
        <w:t>1</w:t>
      </w:r>
      <w:r>
        <w:rPr>
          <w:kern w:val="44"/>
          <w:sz w:val="28"/>
          <w:szCs w:val="28"/>
        </w:rPr>
        <w:fldChar w:fldCharType="end"/>
      </w:r>
      <w:r>
        <w:rPr>
          <w:kern w:val="44"/>
          <w:sz w:val="28"/>
          <w:szCs w:val="28"/>
        </w:rPr>
        <w:fldChar w:fldCharType="end"/>
      </w:r>
    </w:p>
    <w:p>
      <w:pPr>
        <w:pStyle w:val="11"/>
        <w:tabs>
          <w:tab w:val="right" w:leader="dot" w:pos="9638"/>
        </w:tabs>
        <w:spacing w:line="500" w:lineRule="exact"/>
        <w:rPr>
          <w:kern w:val="44"/>
          <w:sz w:val="28"/>
          <w:szCs w:val="28"/>
        </w:rPr>
      </w:pPr>
      <w:r>
        <w:fldChar w:fldCharType="begin"/>
      </w:r>
      <w:r>
        <w:instrText xml:space="preserve"> HYPERLINK \l "_Toc28515" </w:instrText>
      </w:r>
      <w:r>
        <w:fldChar w:fldCharType="separate"/>
      </w:r>
      <w:r>
        <w:rPr>
          <w:rFonts w:hint="eastAsia" w:ascii="仿宋_GB2312" w:hAnsi="仿宋_GB2312" w:cs="仿宋_GB2312"/>
          <w:kern w:val="44"/>
          <w:sz w:val="28"/>
          <w:szCs w:val="28"/>
        </w:rPr>
        <w:t>五、培养目标与培养规格</w:t>
      </w:r>
      <w:r>
        <w:rPr>
          <w:kern w:val="44"/>
          <w:sz w:val="28"/>
          <w:szCs w:val="28"/>
        </w:rPr>
        <w:tab/>
      </w:r>
      <w:r>
        <w:rPr>
          <w:kern w:val="44"/>
          <w:sz w:val="28"/>
          <w:szCs w:val="28"/>
        </w:rPr>
        <w:fldChar w:fldCharType="begin"/>
      </w:r>
      <w:r>
        <w:rPr>
          <w:kern w:val="44"/>
          <w:sz w:val="28"/>
          <w:szCs w:val="28"/>
        </w:rPr>
        <w:instrText xml:space="preserve"> PAGEREF _Toc28515 </w:instrText>
      </w:r>
      <w:r>
        <w:rPr>
          <w:kern w:val="44"/>
          <w:sz w:val="28"/>
          <w:szCs w:val="28"/>
        </w:rPr>
        <w:fldChar w:fldCharType="separate"/>
      </w:r>
      <w:r>
        <w:rPr>
          <w:kern w:val="44"/>
          <w:sz w:val="28"/>
          <w:szCs w:val="28"/>
        </w:rPr>
        <w:t>2</w:t>
      </w:r>
      <w:r>
        <w:rPr>
          <w:kern w:val="44"/>
          <w:sz w:val="28"/>
          <w:szCs w:val="28"/>
        </w:rPr>
        <w:fldChar w:fldCharType="end"/>
      </w:r>
      <w:r>
        <w:rPr>
          <w:kern w:val="44"/>
          <w:sz w:val="28"/>
          <w:szCs w:val="28"/>
        </w:rPr>
        <w:fldChar w:fldCharType="end"/>
      </w:r>
    </w:p>
    <w:p>
      <w:pPr>
        <w:pStyle w:val="14"/>
        <w:tabs>
          <w:tab w:val="right" w:leader="dot" w:pos="9638"/>
        </w:tabs>
        <w:spacing w:line="500" w:lineRule="exact"/>
        <w:ind w:left="640"/>
        <w:rPr>
          <w:kern w:val="44"/>
          <w:sz w:val="28"/>
          <w:szCs w:val="28"/>
        </w:rPr>
      </w:pPr>
      <w:r>
        <w:fldChar w:fldCharType="begin"/>
      </w:r>
      <w:r>
        <w:instrText xml:space="preserve"> HYPERLINK \l "_Toc22839" </w:instrText>
      </w:r>
      <w:r>
        <w:fldChar w:fldCharType="separate"/>
      </w:r>
      <w:r>
        <w:rPr>
          <w:rFonts w:hint="eastAsia" w:ascii="仿宋_GB2312" w:hAnsi="仿宋_GB2312" w:cs="仿宋_GB2312"/>
          <w:kern w:val="44"/>
          <w:sz w:val="28"/>
          <w:szCs w:val="28"/>
        </w:rPr>
        <w:t>（一）培养目标</w:t>
      </w:r>
      <w:r>
        <w:rPr>
          <w:kern w:val="44"/>
          <w:sz w:val="28"/>
          <w:szCs w:val="28"/>
        </w:rPr>
        <w:tab/>
      </w:r>
      <w:r>
        <w:rPr>
          <w:kern w:val="44"/>
          <w:sz w:val="28"/>
          <w:szCs w:val="28"/>
        </w:rPr>
        <w:fldChar w:fldCharType="begin"/>
      </w:r>
      <w:r>
        <w:rPr>
          <w:kern w:val="44"/>
          <w:sz w:val="28"/>
          <w:szCs w:val="28"/>
        </w:rPr>
        <w:instrText xml:space="preserve"> PAGEREF _Toc22839 </w:instrText>
      </w:r>
      <w:r>
        <w:rPr>
          <w:kern w:val="44"/>
          <w:sz w:val="28"/>
          <w:szCs w:val="28"/>
        </w:rPr>
        <w:fldChar w:fldCharType="separate"/>
      </w:r>
      <w:r>
        <w:rPr>
          <w:kern w:val="44"/>
          <w:sz w:val="28"/>
          <w:szCs w:val="28"/>
        </w:rPr>
        <w:t>2</w:t>
      </w:r>
      <w:r>
        <w:rPr>
          <w:kern w:val="44"/>
          <w:sz w:val="28"/>
          <w:szCs w:val="28"/>
        </w:rPr>
        <w:fldChar w:fldCharType="end"/>
      </w:r>
      <w:r>
        <w:rPr>
          <w:kern w:val="44"/>
          <w:sz w:val="28"/>
          <w:szCs w:val="28"/>
        </w:rPr>
        <w:fldChar w:fldCharType="end"/>
      </w:r>
    </w:p>
    <w:p>
      <w:pPr>
        <w:pStyle w:val="14"/>
        <w:tabs>
          <w:tab w:val="right" w:leader="dot" w:pos="9638"/>
        </w:tabs>
        <w:spacing w:line="500" w:lineRule="exact"/>
        <w:ind w:left="640"/>
        <w:rPr>
          <w:kern w:val="44"/>
          <w:sz w:val="28"/>
          <w:szCs w:val="28"/>
        </w:rPr>
      </w:pPr>
      <w:r>
        <w:fldChar w:fldCharType="begin"/>
      </w:r>
      <w:r>
        <w:instrText xml:space="preserve"> HYPERLINK \l "_Toc25442" </w:instrText>
      </w:r>
      <w:r>
        <w:fldChar w:fldCharType="separate"/>
      </w:r>
      <w:r>
        <w:rPr>
          <w:rFonts w:hint="eastAsia" w:ascii="仿宋_GB2312" w:hAnsi="仿宋_GB2312" w:cs="仿宋_GB2312"/>
          <w:kern w:val="44"/>
          <w:sz w:val="28"/>
          <w:szCs w:val="28"/>
        </w:rPr>
        <w:t>（二）培养规格</w:t>
      </w:r>
      <w:r>
        <w:rPr>
          <w:kern w:val="44"/>
          <w:sz w:val="28"/>
          <w:szCs w:val="28"/>
        </w:rPr>
        <w:tab/>
      </w:r>
      <w:r>
        <w:rPr>
          <w:kern w:val="44"/>
          <w:sz w:val="28"/>
          <w:szCs w:val="28"/>
        </w:rPr>
        <w:fldChar w:fldCharType="begin"/>
      </w:r>
      <w:r>
        <w:rPr>
          <w:kern w:val="44"/>
          <w:sz w:val="28"/>
          <w:szCs w:val="28"/>
        </w:rPr>
        <w:instrText xml:space="preserve"> PAGEREF _Toc25442 </w:instrText>
      </w:r>
      <w:r>
        <w:rPr>
          <w:kern w:val="44"/>
          <w:sz w:val="28"/>
          <w:szCs w:val="28"/>
        </w:rPr>
        <w:fldChar w:fldCharType="separate"/>
      </w:r>
      <w:r>
        <w:rPr>
          <w:kern w:val="44"/>
          <w:sz w:val="28"/>
          <w:szCs w:val="28"/>
        </w:rPr>
        <w:t>2</w:t>
      </w:r>
      <w:r>
        <w:rPr>
          <w:kern w:val="44"/>
          <w:sz w:val="28"/>
          <w:szCs w:val="28"/>
        </w:rPr>
        <w:fldChar w:fldCharType="end"/>
      </w:r>
      <w:r>
        <w:rPr>
          <w:kern w:val="44"/>
          <w:sz w:val="28"/>
          <w:szCs w:val="28"/>
        </w:rPr>
        <w:fldChar w:fldCharType="end"/>
      </w:r>
    </w:p>
    <w:p>
      <w:pPr>
        <w:pStyle w:val="11"/>
        <w:tabs>
          <w:tab w:val="right" w:leader="dot" w:pos="9638"/>
        </w:tabs>
        <w:spacing w:line="500" w:lineRule="exact"/>
        <w:rPr>
          <w:kern w:val="44"/>
          <w:sz w:val="28"/>
          <w:szCs w:val="28"/>
        </w:rPr>
      </w:pPr>
      <w:r>
        <w:fldChar w:fldCharType="begin"/>
      </w:r>
      <w:r>
        <w:instrText xml:space="preserve"> HYPERLINK \l "_Toc16280" </w:instrText>
      </w:r>
      <w:r>
        <w:fldChar w:fldCharType="separate"/>
      </w:r>
      <w:r>
        <w:rPr>
          <w:rFonts w:hint="eastAsia" w:ascii="仿宋_GB2312" w:hAnsi="仿宋_GB2312" w:cs="仿宋_GB2312"/>
          <w:kern w:val="44"/>
          <w:sz w:val="28"/>
          <w:szCs w:val="28"/>
        </w:rPr>
        <w:t>六、课程设置及要求</w:t>
      </w:r>
      <w:r>
        <w:rPr>
          <w:kern w:val="44"/>
          <w:sz w:val="28"/>
          <w:szCs w:val="28"/>
        </w:rPr>
        <w:tab/>
      </w:r>
      <w:r>
        <w:rPr>
          <w:kern w:val="44"/>
          <w:sz w:val="28"/>
          <w:szCs w:val="28"/>
        </w:rPr>
        <w:fldChar w:fldCharType="begin"/>
      </w:r>
      <w:r>
        <w:rPr>
          <w:kern w:val="44"/>
          <w:sz w:val="28"/>
          <w:szCs w:val="28"/>
        </w:rPr>
        <w:instrText xml:space="preserve"> PAGEREF _Toc16280 </w:instrText>
      </w:r>
      <w:r>
        <w:rPr>
          <w:kern w:val="44"/>
          <w:sz w:val="28"/>
          <w:szCs w:val="28"/>
        </w:rPr>
        <w:fldChar w:fldCharType="separate"/>
      </w:r>
      <w:r>
        <w:rPr>
          <w:kern w:val="44"/>
          <w:sz w:val="28"/>
          <w:szCs w:val="28"/>
        </w:rPr>
        <w:t>5</w:t>
      </w:r>
      <w:r>
        <w:rPr>
          <w:kern w:val="44"/>
          <w:sz w:val="28"/>
          <w:szCs w:val="28"/>
        </w:rPr>
        <w:fldChar w:fldCharType="end"/>
      </w:r>
      <w:r>
        <w:rPr>
          <w:kern w:val="44"/>
          <w:sz w:val="28"/>
          <w:szCs w:val="28"/>
        </w:rPr>
        <w:fldChar w:fldCharType="end"/>
      </w:r>
    </w:p>
    <w:p>
      <w:pPr>
        <w:pStyle w:val="14"/>
        <w:tabs>
          <w:tab w:val="right" w:leader="dot" w:pos="9638"/>
        </w:tabs>
        <w:spacing w:line="500" w:lineRule="exact"/>
        <w:ind w:left="640"/>
        <w:rPr>
          <w:kern w:val="44"/>
          <w:sz w:val="28"/>
          <w:szCs w:val="28"/>
        </w:rPr>
      </w:pPr>
      <w:r>
        <w:fldChar w:fldCharType="begin"/>
      </w:r>
      <w:r>
        <w:instrText xml:space="preserve"> HYPERLINK \l "_Toc1477" </w:instrText>
      </w:r>
      <w:r>
        <w:fldChar w:fldCharType="separate"/>
      </w:r>
      <w:r>
        <w:rPr>
          <w:rFonts w:hint="eastAsia" w:ascii="仿宋_GB2312" w:hAnsi="仿宋_GB2312" w:cs="仿宋_GB2312"/>
          <w:kern w:val="44"/>
          <w:sz w:val="28"/>
          <w:szCs w:val="28"/>
        </w:rPr>
        <w:t>（一）</w:t>
      </w:r>
      <w:r>
        <w:rPr>
          <w:rFonts w:hint="eastAsia" w:ascii="仿宋_GB2312" w:hAnsi="仿宋_GB2312" w:cs="仿宋_GB2312"/>
          <w:kern w:val="44"/>
          <w:sz w:val="28"/>
          <w:szCs w:val="28"/>
          <w:lang w:val="zh-CN"/>
        </w:rPr>
        <w:t>课</w:t>
      </w:r>
      <w:r>
        <w:rPr>
          <w:rFonts w:hint="eastAsia" w:ascii="仿宋_GB2312" w:hAnsi="仿宋_GB2312" w:cs="仿宋_GB2312"/>
          <w:kern w:val="44"/>
          <w:sz w:val="28"/>
          <w:szCs w:val="28"/>
        </w:rPr>
        <w:t>程结构</w:t>
      </w:r>
      <w:r>
        <w:rPr>
          <w:kern w:val="44"/>
          <w:sz w:val="28"/>
          <w:szCs w:val="28"/>
        </w:rPr>
        <w:tab/>
      </w:r>
      <w:r>
        <w:rPr>
          <w:kern w:val="44"/>
          <w:sz w:val="28"/>
          <w:szCs w:val="28"/>
        </w:rPr>
        <w:fldChar w:fldCharType="begin"/>
      </w:r>
      <w:r>
        <w:rPr>
          <w:kern w:val="44"/>
          <w:sz w:val="28"/>
          <w:szCs w:val="28"/>
        </w:rPr>
        <w:instrText xml:space="preserve"> PAGEREF _Toc1477 </w:instrText>
      </w:r>
      <w:r>
        <w:rPr>
          <w:kern w:val="44"/>
          <w:sz w:val="28"/>
          <w:szCs w:val="28"/>
        </w:rPr>
        <w:fldChar w:fldCharType="separate"/>
      </w:r>
      <w:r>
        <w:rPr>
          <w:kern w:val="44"/>
          <w:sz w:val="28"/>
          <w:szCs w:val="28"/>
        </w:rPr>
        <w:t>5</w:t>
      </w:r>
      <w:r>
        <w:rPr>
          <w:kern w:val="44"/>
          <w:sz w:val="28"/>
          <w:szCs w:val="28"/>
        </w:rPr>
        <w:fldChar w:fldCharType="end"/>
      </w:r>
      <w:r>
        <w:rPr>
          <w:kern w:val="44"/>
          <w:sz w:val="28"/>
          <w:szCs w:val="28"/>
        </w:rPr>
        <w:fldChar w:fldCharType="end"/>
      </w:r>
    </w:p>
    <w:p>
      <w:pPr>
        <w:pStyle w:val="14"/>
        <w:tabs>
          <w:tab w:val="right" w:leader="dot" w:pos="9638"/>
        </w:tabs>
        <w:spacing w:line="500" w:lineRule="exact"/>
        <w:ind w:left="640"/>
        <w:rPr>
          <w:kern w:val="44"/>
          <w:sz w:val="28"/>
          <w:szCs w:val="28"/>
        </w:rPr>
      </w:pPr>
      <w:r>
        <w:fldChar w:fldCharType="begin"/>
      </w:r>
      <w:r>
        <w:instrText xml:space="preserve"> HYPERLINK \l "_Toc514" </w:instrText>
      </w:r>
      <w:r>
        <w:fldChar w:fldCharType="separate"/>
      </w:r>
      <w:r>
        <w:rPr>
          <w:rFonts w:hint="eastAsia" w:ascii="仿宋_GB2312" w:hAnsi="仿宋_GB2312" w:cs="仿宋_GB2312"/>
          <w:kern w:val="44"/>
          <w:sz w:val="28"/>
          <w:szCs w:val="28"/>
        </w:rPr>
        <w:t>（二）课程设置及要求</w:t>
      </w:r>
      <w:r>
        <w:rPr>
          <w:kern w:val="44"/>
          <w:sz w:val="28"/>
          <w:szCs w:val="28"/>
        </w:rPr>
        <w:tab/>
      </w:r>
      <w:r>
        <w:rPr>
          <w:kern w:val="44"/>
          <w:sz w:val="28"/>
          <w:szCs w:val="28"/>
        </w:rPr>
        <w:fldChar w:fldCharType="begin"/>
      </w:r>
      <w:r>
        <w:rPr>
          <w:kern w:val="44"/>
          <w:sz w:val="28"/>
          <w:szCs w:val="28"/>
        </w:rPr>
        <w:instrText xml:space="preserve"> PAGEREF _Toc514 </w:instrText>
      </w:r>
      <w:r>
        <w:rPr>
          <w:kern w:val="44"/>
          <w:sz w:val="28"/>
          <w:szCs w:val="28"/>
        </w:rPr>
        <w:fldChar w:fldCharType="separate"/>
      </w:r>
      <w:r>
        <w:rPr>
          <w:kern w:val="44"/>
          <w:sz w:val="28"/>
          <w:szCs w:val="28"/>
        </w:rPr>
        <w:t>6</w:t>
      </w:r>
      <w:r>
        <w:rPr>
          <w:kern w:val="44"/>
          <w:sz w:val="28"/>
          <w:szCs w:val="28"/>
        </w:rPr>
        <w:fldChar w:fldCharType="end"/>
      </w:r>
      <w:r>
        <w:rPr>
          <w:kern w:val="44"/>
          <w:sz w:val="28"/>
          <w:szCs w:val="28"/>
        </w:rPr>
        <w:fldChar w:fldCharType="end"/>
      </w:r>
    </w:p>
    <w:p>
      <w:pPr>
        <w:pStyle w:val="11"/>
        <w:tabs>
          <w:tab w:val="right" w:leader="dot" w:pos="9638"/>
        </w:tabs>
        <w:spacing w:line="500" w:lineRule="exact"/>
        <w:rPr>
          <w:kern w:val="44"/>
          <w:sz w:val="28"/>
          <w:szCs w:val="28"/>
        </w:rPr>
      </w:pPr>
      <w:r>
        <w:fldChar w:fldCharType="begin"/>
      </w:r>
      <w:r>
        <w:instrText xml:space="preserve"> HYPERLINK \l "_Toc17259" </w:instrText>
      </w:r>
      <w:r>
        <w:fldChar w:fldCharType="separate"/>
      </w:r>
      <w:r>
        <w:rPr>
          <w:rFonts w:hint="eastAsia" w:ascii="仿宋_GB2312" w:hAnsi="仿宋_GB2312" w:cs="仿宋_GB2312"/>
          <w:kern w:val="44"/>
          <w:sz w:val="28"/>
          <w:szCs w:val="28"/>
        </w:rPr>
        <w:t>七、教学进程总体安排</w:t>
      </w:r>
      <w:r>
        <w:rPr>
          <w:kern w:val="44"/>
          <w:sz w:val="28"/>
          <w:szCs w:val="28"/>
        </w:rPr>
        <w:tab/>
      </w:r>
      <w:r>
        <w:rPr>
          <w:kern w:val="44"/>
          <w:sz w:val="28"/>
          <w:szCs w:val="28"/>
        </w:rPr>
        <w:fldChar w:fldCharType="begin"/>
      </w:r>
      <w:r>
        <w:rPr>
          <w:kern w:val="44"/>
          <w:sz w:val="28"/>
          <w:szCs w:val="28"/>
        </w:rPr>
        <w:instrText xml:space="preserve"> PAGEREF _Toc17259 </w:instrText>
      </w:r>
      <w:r>
        <w:rPr>
          <w:kern w:val="44"/>
          <w:sz w:val="28"/>
          <w:szCs w:val="28"/>
        </w:rPr>
        <w:fldChar w:fldCharType="separate"/>
      </w:r>
      <w:r>
        <w:rPr>
          <w:kern w:val="44"/>
          <w:sz w:val="28"/>
          <w:szCs w:val="28"/>
        </w:rPr>
        <w:t>10</w:t>
      </w:r>
      <w:r>
        <w:rPr>
          <w:kern w:val="44"/>
          <w:sz w:val="28"/>
          <w:szCs w:val="28"/>
        </w:rPr>
        <w:fldChar w:fldCharType="end"/>
      </w:r>
      <w:r>
        <w:rPr>
          <w:kern w:val="44"/>
          <w:sz w:val="28"/>
          <w:szCs w:val="28"/>
        </w:rPr>
        <w:fldChar w:fldCharType="end"/>
      </w:r>
    </w:p>
    <w:p>
      <w:pPr>
        <w:pStyle w:val="14"/>
        <w:tabs>
          <w:tab w:val="right" w:leader="dot" w:pos="9638"/>
        </w:tabs>
        <w:spacing w:line="500" w:lineRule="exact"/>
        <w:ind w:left="640"/>
        <w:rPr>
          <w:kern w:val="44"/>
          <w:sz w:val="28"/>
          <w:szCs w:val="28"/>
        </w:rPr>
      </w:pPr>
      <w:r>
        <w:fldChar w:fldCharType="begin"/>
      </w:r>
      <w:r>
        <w:instrText xml:space="preserve"> HYPERLINK \l "_Toc13699" </w:instrText>
      </w:r>
      <w:r>
        <w:fldChar w:fldCharType="separate"/>
      </w:r>
      <w:r>
        <w:rPr>
          <w:rFonts w:hint="eastAsia" w:ascii="仿宋_GB2312" w:hAnsi="仿宋_GB2312" w:cs="仿宋_GB2312"/>
          <w:kern w:val="44"/>
          <w:sz w:val="28"/>
          <w:szCs w:val="28"/>
        </w:rPr>
        <w:t>（一）基本要求</w:t>
      </w:r>
      <w:r>
        <w:rPr>
          <w:kern w:val="44"/>
          <w:sz w:val="28"/>
          <w:szCs w:val="28"/>
        </w:rPr>
        <w:tab/>
      </w:r>
      <w:r>
        <w:rPr>
          <w:kern w:val="44"/>
          <w:sz w:val="28"/>
          <w:szCs w:val="28"/>
        </w:rPr>
        <w:fldChar w:fldCharType="begin"/>
      </w:r>
      <w:r>
        <w:rPr>
          <w:kern w:val="44"/>
          <w:sz w:val="28"/>
          <w:szCs w:val="28"/>
        </w:rPr>
        <w:instrText xml:space="preserve"> PAGEREF _Toc13699 </w:instrText>
      </w:r>
      <w:r>
        <w:rPr>
          <w:kern w:val="44"/>
          <w:sz w:val="28"/>
          <w:szCs w:val="28"/>
        </w:rPr>
        <w:fldChar w:fldCharType="separate"/>
      </w:r>
      <w:r>
        <w:rPr>
          <w:kern w:val="44"/>
          <w:sz w:val="28"/>
          <w:szCs w:val="28"/>
        </w:rPr>
        <w:t>10</w:t>
      </w:r>
      <w:r>
        <w:rPr>
          <w:kern w:val="44"/>
          <w:sz w:val="28"/>
          <w:szCs w:val="28"/>
        </w:rPr>
        <w:fldChar w:fldCharType="end"/>
      </w:r>
      <w:r>
        <w:rPr>
          <w:kern w:val="44"/>
          <w:sz w:val="28"/>
          <w:szCs w:val="28"/>
        </w:rPr>
        <w:fldChar w:fldCharType="end"/>
      </w:r>
    </w:p>
    <w:p>
      <w:pPr>
        <w:pStyle w:val="14"/>
        <w:tabs>
          <w:tab w:val="right" w:leader="dot" w:pos="9638"/>
        </w:tabs>
        <w:spacing w:line="500" w:lineRule="exact"/>
        <w:ind w:left="640"/>
        <w:rPr>
          <w:kern w:val="44"/>
          <w:sz w:val="28"/>
          <w:szCs w:val="28"/>
        </w:rPr>
      </w:pPr>
      <w:r>
        <w:fldChar w:fldCharType="begin"/>
      </w:r>
      <w:r>
        <w:instrText xml:space="preserve"> HYPERLINK \l "_Toc29230" </w:instrText>
      </w:r>
      <w:r>
        <w:fldChar w:fldCharType="separate"/>
      </w:r>
      <w:r>
        <w:rPr>
          <w:rFonts w:hint="eastAsia" w:ascii="仿宋_GB2312" w:hAnsi="仿宋_GB2312" w:cs="仿宋_GB2312"/>
          <w:kern w:val="44"/>
          <w:sz w:val="28"/>
          <w:szCs w:val="28"/>
        </w:rPr>
        <w:t>（二）教学进度安排</w:t>
      </w:r>
      <w:r>
        <w:rPr>
          <w:kern w:val="44"/>
          <w:sz w:val="28"/>
          <w:szCs w:val="28"/>
        </w:rPr>
        <w:tab/>
      </w:r>
      <w:r>
        <w:rPr>
          <w:kern w:val="44"/>
          <w:sz w:val="28"/>
          <w:szCs w:val="28"/>
        </w:rPr>
        <w:fldChar w:fldCharType="begin"/>
      </w:r>
      <w:r>
        <w:rPr>
          <w:kern w:val="44"/>
          <w:sz w:val="28"/>
          <w:szCs w:val="28"/>
        </w:rPr>
        <w:instrText xml:space="preserve"> PAGEREF _Toc29230 </w:instrText>
      </w:r>
      <w:r>
        <w:rPr>
          <w:kern w:val="44"/>
          <w:sz w:val="28"/>
          <w:szCs w:val="28"/>
        </w:rPr>
        <w:fldChar w:fldCharType="separate"/>
      </w:r>
      <w:r>
        <w:rPr>
          <w:kern w:val="44"/>
          <w:sz w:val="28"/>
          <w:szCs w:val="28"/>
        </w:rPr>
        <w:t>10</w:t>
      </w:r>
      <w:r>
        <w:rPr>
          <w:kern w:val="44"/>
          <w:sz w:val="28"/>
          <w:szCs w:val="28"/>
        </w:rPr>
        <w:fldChar w:fldCharType="end"/>
      </w:r>
      <w:r>
        <w:rPr>
          <w:kern w:val="44"/>
          <w:sz w:val="28"/>
          <w:szCs w:val="28"/>
        </w:rPr>
        <w:fldChar w:fldCharType="end"/>
      </w:r>
    </w:p>
    <w:p>
      <w:pPr>
        <w:pStyle w:val="11"/>
        <w:tabs>
          <w:tab w:val="right" w:leader="dot" w:pos="9638"/>
        </w:tabs>
        <w:spacing w:line="500" w:lineRule="exact"/>
        <w:rPr>
          <w:kern w:val="44"/>
          <w:sz w:val="28"/>
          <w:szCs w:val="28"/>
        </w:rPr>
      </w:pPr>
      <w:r>
        <w:fldChar w:fldCharType="begin"/>
      </w:r>
      <w:r>
        <w:instrText xml:space="preserve"> HYPERLINK \l "_Toc8584" </w:instrText>
      </w:r>
      <w:r>
        <w:fldChar w:fldCharType="separate"/>
      </w:r>
      <w:r>
        <w:rPr>
          <w:rFonts w:hint="eastAsia" w:ascii="仿宋_GB2312" w:hAnsi="仿宋_GB2312" w:cs="仿宋_GB2312"/>
          <w:kern w:val="44"/>
          <w:sz w:val="28"/>
          <w:szCs w:val="28"/>
        </w:rPr>
        <w:t>八、实施保障</w:t>
      </w:r>
      <w:r>
        <w:rPr>
          <w:kern w:val="44"/>
          <w:sz w:val="28"/>
          <w:szCs w:val="28"/>
        </w:rPr>
        <w:tab/>
      </w:r>
      <w:r>
        <w:rPr>
          <w:kern w:val="44"/>
          <w:sz w:val="28"/>
          <w:szCs w:val="28"/>
        </w:rPr>
        <w:fldChar w:fldCharType="begin"/>
      </w:r>
      <w:r>
        <w:rPr>
          <w:kern w:val="44"/>
          <w:sz w:val="28"/>
          <w:szCs w:val="28"/>
        </w:rPr>
        <w:instrText xml:space="preserve"> PAGEREF _Toc8584 </w:instrText>
      </w:r>
      <w:r>
        <w:rPr>
          <w:kern w:val="44"/>
          <w:sz w:val="28"/>
          <w:szCs w:val="28"/>
        </w:rPr>
        <w:fldChar w:fldCharType="separate"/>
      </w:r>
      <w:r>
        <w:rPr>
          <w:kern w:val="44"/>
          <w:sz w:val="28"/>
          <w:szCs w:val="28"/>
        </w:rPr>
        <w:t>12</w:t>
      </w:r>
      <w:r>
        <w:rPr>
          <w:kern w:val="44"/>
          <w:sz w:val="28"/>
          <w:szCs w:val="28"/>
        </w:rPr>
        <w:fldChar w:fldCharType="end"/>
      </w:r>
      <w:r>
        <w:rPr>
          <w:kern w:val="44"/>
          <w:sz w:val="28"/>
          <w:szCs w:val="28"/>
        </w:rPr>
        <w:fldChar w:fldCharType="end"/>
      </w:r>
    </w:p>
    <w:p>
      <w:pPr>
        <w:pStyle w:val="14"/>
        <w:tabs>
          <w:tab w:val="right" w:leader="dot" w:pos="9638"/>
        </w:tabs>
        <w:spacing w:line="500" w:lineRule="exact"/>
        <w:ind w:left="640"/>
        <w:rPr>
          <w:kern w:val="44"/>
          <w:sz w:val="28"/>
          <w:szCs w:val="28"/>
        </w:rPr>
      </w:pPr>
      <w:r>
        <w:fldChar w:fldCharType="begin"/>
      </w:r>
      <w:r>
        <w:instrText xml:space="preserve"> HYPERLINK \l "_Toc18651" </w:instrText>
      </w:r>
      <w:r>
        <w:fldChar w:fldCharType="separate"/>
      </w:r>
      <w:r>
        <w:rPr>
          <w:rFonts w:hint="eastAsia" w:ascii="仿宋_GB2312" w:hAnsi="仿宋_GB2312" w:cs="仿宋_GB2312"/>
          <w:kern w:val="44"/>
          <w:sz w:val="28"/>
          <w:szCs w:val="28"/>
        </w:rPr>
        <w:t>（一）</w:t>
      </w:r>
      <w:r>
        <w:rPr>
          <w:rFonts w:hint="eastAsia" w:ascii="仿宋_GB2312" w:hAnsi="仿宋_GB2312" w:cs="仿宋_GB2312"/>
          <w:kern w:val="44"/>
          <w:sz w:val="28"/>
          <w:szCs w:val="28"/>
          <w:lang w:val="zh-CN"/>
        </w:rPr>
        <w:t>师</w:t>
      </w:r>
      <w:r>
        <w:rPr>
          <w:rFonts w:hint="eastAsia" w:ascii="仿宋_GB2312" w:hAnsi="仿宋_GB2312" w:cs="仿宋_GB2312"/>
          <w:kern w:val="44"/>
          <w:sz w:val="28"/>
          <w:szCs w:val="28"/>
        </w:rPr>
        <w:t>资队伍</w:t>
      </w:r>
      <w:r>
        <w:rPr>
          <w:kern w:val="44"/>
          <w:sz w:val="28"/>
          <w:szCs w:val="28"/>
        </w:rPr>
        <w:tab/>
      </w:r>
      <w:r>
        <w:rPr>
          <w:kern w:val="44"/>
          <w:sz w:val="28"/>
          <w:szCs w:val="28"/>
        </w:rPr>
        <w:fldChar w:fldCharType="begin"/>
      </w:r>
      <w:r>
        <w:rPr>
          <w:kern w:val="44"/>
          <w:sz w:val="28"/>
          <w:szCs w:val="28"/>
        </w:rPr>
        <w:instrText xml:space="preserve"> PAGEREF _Toc18651 </w:instrText>
      </w:r>
      <w:r>
        <w:rPr>
          <w:kern w:val="44"/>
          <w:sz w:val="28"/>
          <w:szCs w:val="28"/>
        </w:rPr>
        <w:fldChar w:fldCharType="separate"/>
      </w:r>
      <w:r>
        <w:rPr>
          <w:kern w:val="44"/>
          <w:sz w:val="28"/>
          <w:szCs w:val="28"/>
        </w:rPr>
        <w:t>12</w:t>
      </w:r>
      <w:r>
        <w:rPr>
          <w:kern w:val="44"/>
          <w:sz w:val="28"/>
          <w:szCs w:val="28"/>
        </w:rPr>
        <w:fldChar w:fldCharType="end"/>
      </w:r>
      <w:r>
        <w:rPr>
          <w:kern w:val="44"/>
          <w:sz w:val="28"/>
          <w:szCs w:val="28"/>
        </w:rPr>
        <w:fldChar w:fldCharType="end"/>
      </w:r>
    </w:p>
    <w:p>
      <w:pPr>
        <w:pStyle w:val="14"/>
        <w:tabs>
          <w:tab w:val="right" w:leader="dot" w:pos="9638"/>
        </w:tabs>
        <w:spacing w:line="500" w:lineRule="exact"/>
        <w:ind w:left="640"/>
        <w:rPr>
          <w:kern w:val="44"/>
          <w:sz w:val="28"/>
          <w:szCs w:val="28"/>
        </w:rPr>
      </w:pPr>
      <w:r>
        <w:fldChar w:fldCharType="begin"/>
      </w:r>
      <w:r>
        <w:instrText xml:space="preserve"> HYPERLINK \l "_Toc17009" </w:instrText>
      </w:r>
      <w:r>
        <w:fldChar w:fldCharType="separate"/>
      </w:r>
      <w:r>
        <w:rPr>
          <w:rFonts w:hint="eastAsia" w:ascii="仿宋_GB2312" w:hAnsi="仿宋_GB2312" w:cs="仿宋_GB2312"/>
          <w:kern w:val="44"/>
          <w:sz w:val="28"/>
          <w:szCs w:val="28"/>
        </w:rPr>
        <w:t>（二）</w:t>
      </w:r>
      <w:r>
        <w:rPr>
          <w:rFonts w:hint="eastAsia" w:ascii="仿宋_GB2312" w:hAnsi="仿宋_GB2312" w:cs="仿宋_GB2312"/>
          <w:kern w:val="44"/>
          <w:sz w:val="28"/>
          <w:szCs w:val="28"/>
          <w:lang w:val="zh-CN"/>
        </w:rPr>
        <w:t>教</w:t>
      </w:r>
      <w:r>
        <w:rPr>
          <w:rFonts w:hint="eastAsia" w:ascii="仿宋_GB2312" w:hAnsi="仿宋_GB2312" w:cs="仿宋_GB2312"/>
          <w:kern w:val="44"/>
          <w:sz w:val="28"/>
          <w:szCs w:val="28"/>
        </w:rPr>
        <w:t>学设施</w:t>
      </w:r>
      <w:r>
        <w:rPr>
          <w:kern w:val="44"/>
          <w:sz w:val="28"/>
          <w:szCs w:val="28"/>
        </w:rPr>
        <w:tab/>
      </w:r>
      <w:r>
        <w:rPr>
          <w:kern w:val="44"/>
          <w:sz w:val="28"/>
          <w:szCs w:val="28"/>
        </w:rPr>
        <w:fldChar w:fldCharType="begin"/>
      </w:r>
      <w:r>
        <w:rPr>
          <w:kern w:val="44"/>
          <w:sz w:val="28"/>
          <w:szCs w:val="28"/>
        </w:rPr>
        <w:instrText xml:space="preserve"> PAGEREF _Toc17009 </w:instrText>
      </w:r>
      <w:r>
        <w:rPr>
          <w:kern w:val="44"/>
          <w:sz w:val="28"/>
          <w:szCs w:val="28"/>
        </w:rPr>
        <w:fldChar w:fldCharType="separate"/>
      </w:r>
      <w:r>
        <w:rPr>
          <w:kern w:val="44"/>
          <w:sz w:val="28"/>
          <w:szCs w:val="28"/>
        </w:rPr>
        <w:t>12</w:t>
      </w:r>
      <w:r>
        <w:rPr>
          <w:kern w:val="44"/>
          <w:sz w:val="28"/>
          <w:szCs w:val="28"/>
        </w:rPr>
        <w:fldChar w:fldCharType="end"/>
      </w:r>
      <w:r>
        <w:rPr>
          <w:kern w:val="44"/>
          <w:sz w:val="28"/>
          <w:szCs w:val="28"/>
        </w:rPr>
        <w:fldChar w:fldCharType="end"/>
      </w:r>
    </w:p>
    <w:p>
      <w:pPr>
        <w:pStyle w:val="14"/>
        <w:tabs>
          <w:tab w:val="right" w:leader="dot" w:pos="9638"/>
        </w:tabs>
        <w:spacing w:line="500" w:lineRule="exact"/>
        <w:ind w:left="640"/>
        <w:rPr>
          <w:kern w:val="44"/>
          <w:sz w:val="28"/>
          <w:szCs w:val="28"/>
        </w:rPr>
      </w:pPr>
      <w:r>
        <w:fldChar w:fldCharType="begin"/>
      </w:r>
      <w:r>
        <w:instrText xml:space="preserve"> HYPERLINK \l "_Toc6129" </w:instrText>
      </w:r>
      <w:r>
        <w:fldChar w:fldCharType="separate"/>
      </w:r>
      <w:r>
        <w:rPr>
          <w:rFonts w:hint="eastAsia" w:ascii="仿宋_GB2312" w:hAnsi="仿宋_GB2312" w:cs="仿宋_GB2312"/>
          <w:kern w:val="44"/>
          <w:sz w:val="28"/>
          <w:szCs w:val="28"/>
        </w:rPr>
        <w:t>（三）</w:t>
      </w:r>
      <w:r>
        <w:rPr>
          <w:rFonts w:hint="eastAsia" w:ascii="仿宋_GB2312" w:hAnsi="仿宋_GB2312" w:cs="仿宋_GB2312"/>
          <w:kern w:val="44"/>
          <w:sz w:val="28"/>
          <w:szCs w:val="28"/>
          <w:lang w:val="zh-CN"/>
        </w:rPr>
        <w:t>教</w:t>
      </w:r>
      <w:r>
        <w:rPr>
          <w:rFonts w:hint="eastAsia" w:ascii="仿宋_GB2312" w:hAnsi="仿宋_GB2312" w:cs="仿宋_GB2312"/>
          <w:kern w:val="44"/>
          <w:sz w:val="28"/>
          <w:szCs w:val="28"/>
        </w:rPr>
        <w:t>学资源</w:t>
      </w:r>
      <w:r>
        <w:rPr>
          <w:kern w:val="44"/>
          <w:sz w:val="28"/>
          <w:szCs w:val="28"/>
        </w:rPr>
        <w:tab/>
      </w:r>
      <w:r>
        <w:rPr>
          <w:kern w:val="44"/>
          <w:sz w:val="28"/>
          <w:szCs w:val="28"/>
        </w:rPr>
        <w:fldChar w:fldCharType="begin"/>
      </w:r>
      <w:r>
        <w:rPr>
          <w:kern w:val="44"/>
          <w:sz w:val="28"/>
          <w:szCs w:val="28"/>
        </w:rPr>
        <w:instrText xml:space="preserve"> PAGEREF _Toc6129 </w:instrText>
      </w:r>
      <w:r>
        <w:rPr>
          <w:kern w:val="44"/>
          <w:sz w:val="28"/>
          <w:szCs w:val="28"/>
        </w:rPr>
        <w:fldChar w:fldCharType="separate"/>
      </w:r>
      <w:r>
        <w:rPr>
          <w:kern w:val="44"/>
          <w:sz w:val="28"/>
          <w:szCs w:val="28"/>
        </w:rPr>
        <w:t>16</w:t>
      </w:r>
      <w:r>
        <w:rPr>
          <w:kern w:val="44"/>
          <w:sz w:val="28"/>
          <w:szCs w:val="28"/>
        </w:rPr>
        <w:fldChar w:fldCharType="end"/>
      </w:r>
      <w:r>
        <w:rPr>
          <w:kern w:val="44"/>
          <w:sz w:val="28"/>
          <w:szCs w:val="28"/>
        </w:rPr>
        <w:fldChar w:fldCharType="end"/>
      </w:r>
    </w:p>
    <w:p>
      <w:pPr>
        <w:pStyle w:val="14"/>
        <w:tabs>
          <w:tab w:val="right" w:leader="dot" w:pos="9638"/>
        </w:tabs>
        <w:spacing w:line="500" w:lineRule="exact"/>
        <w:ind w:left="640"/>
        <w:rPr>
          <w:kern w:val="44"/>
          <w:sz w:val="28"/>
          <w:szCs w:val="28"/>
        </w:rPr>
      </w:pPr>
      <w:r>
        <w:fldChar w:fldCharType="begin"/>
      </w:r>
      <w:r>
        <w:instrText xml:space="preserve"> HYPERLINK \l "_Toc24027" </w:instrText>
      </w:r>
      <w:r>
        <w:fldChar w:fldCharType="separate"/>
      </w:r>
      <w:r>
        <w:rPr>
          <w:rFonts w:hint="eastAsia" w:ascii="仿宋_GB2312" w:hAnsi="仿宋_GB2312" w:cs="仿宋_GB2312"/>
          <w:kern w:val="44"/>
          <w:sz w:val="28"/>
          <w:szCs w:val="28"/>
        </w:rPr>
        <w:t>（四）</w:t>
      </w:r>
      <w:r>
        <w:rPr>
          <w:rFonts w:hint="eastAsia" w:ascii="仿宋_GB2312" w:hAnsi="仿宋_GB2312" w:cs="仿宋_GB2312"/>
          <w:kern w:val="44"/>
          <w:sz w:val="28"/>
          <w:szCs w:val="28"/>
          <w:lang w:val="zh-CN"/>
        </w:rPr>
        <w:t>教</w:t>
      </w:r>
      <w:r>
        <w:rPr>
          <w:rFonts w:hint="eastAsia" w:ascii="仿宋_GB2312" w:hAnsi="仿宋_GB2312" w:cs="仿宋_GB2312"/>
          <w:kern w:val="44"/>
          <w:sz w:val="28"/>
          <w:szCs w:val="28"/>
        </w:rPr>
        <w:t>学方法</w:t>
      </w:r>
      <w:r>
        <w:rPr>
          <w:kern w:val="44"/>
          <w:sz w:val="28"/>
          <w:szCs w:val="28"/>
        </w:rPr>
        <w:tab/>
      </w:r>
      <w:r>
        <w:rPr>
          <w:kern w:val="44"/>
          <w:sz w:val="28"/>
          <w:szCs w:val="28"/>
        </w:rPr>
        <w:fldChar w:fldCharType="begin"/>
      </w:r>
      <w:r>
        <w:rPr>
          <w:kern w:val="44"/>
          <w:sz w:val="28"/>
          <w:szCs w:val="28"/>
        </w:rPr>
        <w:instrText xml:space="preserve"> PAGEREF _Toc24027 </w:instrText>
      </w:r>
      <w:r>
        <w:rPr>
          <w:kern w:val="44"/>
          <w:sz w:val="28"/>
          <w:szCs w:val="28"/>
        </w:rPr>
        <w:fldChar w:fldCharType="separate"/>
      </w:r>
      <w:r>
        <w:rPr>
          <w:kern w:val="44"/>
          <w:sz w:val="28"/>
          <w:szCs w:val="28"/>
        </w:rPr>
        <w:t>16</w:t>
      </w:r>
      <w:r>
        <w:rPr>
          <w:kern w:val="44"/>
          <w:sz w:val="28"/>
          <w:szCs w:val="28"/>
        </w:rPr>
        <w:fldChar w:fldCharType="end"/>
      </w:r>
      <w:r>
        <w:rPr>
          <w:kern w:val="44"/>
          <w:sz w:val="28"/>
          <w:szCs w:val="28"/>
        </w:rPr>
        <w:fldChar w:fldCharType="end"/>
      </w:r>
    </w:p>
    <w:p>
      <w:pPr>
        <w:pStyle w:val="14"/>
        <w:tabs>
          <w:tab w:val="right" w:leader="dot" w:pos="9638"/>
        </w:tabs>
        <w:spacing w:line="500" w:lineRule="exact"/>
        <w:ind w:left="640"/>
        <w:rPr>
          <w:kern w:val="44"/>
          <w:sz w:val="28"/>
          <w:szCs w:val="28"/>
        </w:rPr>
      </w:pPr>
      <w:r>
        <w:fldChar w:fldCharType="begin"/>
      </w:r>
      <w:r>
        <w:instrText xml:space="preserve"> HYPERLINK \l "_Toc20812" </w:instrText>
      </w:r>
      <w:r>
        <w:fldChar w:fldCharType="separate"/>
      </w:r>
      <w:r>
        <w:rPr>
          <w:rFonts w:hint="eastAsia" w:ascii="仿宋_GB2312" w:hAnsi="仿宋_GB2312" w:cs="仿宋_GB2312"/>
          <w:kern w:val="44"/>
          <w:sz w:val="28"/>
          <w:szCs w:val="28"/>
        </w:rPr>
        <w:t>（五）学习评价</w:t>
      </w:r>
      <w:r>
        <w:rPr>
          <w:kern w:val="44"/>
          <w:sz w:val="28"/>
          <w:szCs w:val="28"/>
        </w:rPr>
        <w:tab/>
      </w:r>
      <w:r>
        <w:rPr>
          <w:kern w:val="44"/>
          <w:sz w:val="28"/>
          <w:szCs w:val="28"/>
        </w:rPr>
        <w:fldChar w:fldCharType="begin"/>
      </w:r>
      <w:r>
        <w:rPr>
          <w:kern w:val="44"/>
          <w:sz w:val="28"/>
          <w:szCs w:val="28"/>
        </w:rPr>
        <w:instrText xml:space="preserve"> PAGEREF _Toc20812 </w:instrText>
      </w:r>
      <w:r>
        <w:rPr>
          <w:kern w:val="44"/>
          <w:sz w:val="28"/>
          <w:szCs w:val="28"/>
        </w:rPr>
        <w:fldChar w:fldCharType="separate"/>
      </w:r>
      <w:r>
        <w:rPr>
          <w:kern w:val="44"/>
          <w:sz w:val="28"/>
          <w:szCs w:val="28"/>
        </w:rPr>
        <w:t>17</w:t>
      </w:r>
      <w:r>
        <w:rPr>
          <w:kern w:val="44"/>
          <w:sz w:val="28"/>
          <w:szCs w:val="28"/>
        </w:rPr>
        <w:fldChar w:fldCharType="end"/>
      </w:r>
      <w:r>
        <w:rPr>
          <w:kern w:val="44"/>
          <w:sz w:val="28"/>
          <w:szCs w:val="28"/>
        </w:rPr>
        <w:fldChar w:fldCharType="end"/>
      </w:r>
    </w:p>
    <w:p>
      <w:pPr>
        <w:pStyle w:val="14"/>
        <w:tabs>
          <w:tab w:val="right" w:leader="dot" w:pos="9638"/>
        </w:tabs>
        <w:spacing w:line="500" w:lineRule="exact"/>
        <w:ind w:left="640"/>
        <w:rPr>
          <w:kern w:val="44"/>
          <w:sz w:val="28"/>
          <w:szCs w:val="28"/>
        </w:rPr>
      </w:pPr>
      <w:r>
        <w:fldChar w:fldCharType="begin"/>
      </w:r>
      <w:r>
        <w:instrText xml:space="preserve"> HYPERLINK \l "_Toc7712" </w:instrText>
      </w:r>
      <w:r>
        <w:fldChar w:fldCharType="separate"/>
      </w:r>
      <w:r>
        <w:rPr>
          <w:rFonts w:hint="eastAsia" w:ascii="仿宋_GB2312" w:hAnsi="仿宋_GB2312" w:cs="仿宋_GB2312"/>
          <w:kern w:val="44"/>
          <w:sz w:val="28"/>
          <w:szCs w:val="28"/>
        </w:rPr>
        <w:t>（六）质量管理</w:t>
      </w:r>
      <w:r>
        <w:rPr>
          <w:kern w:val="44"/>
          <w:sz w:val="28"/>
          <w:szCs w:val="28"/>
        </w:rPr>
        <w:tab/>
      </w:r>
      <w:r>
        <w:rPr>
          <w:kern w:val="44"/>
          <w:sz w:val="28"/>
          <w:szCs w:val="28"/>
        </w:rPr>
        <w:fldChar w:fldCharType="begin"/>
      </w:r>
      <w:r>
        <w:rPr>
          <w:kern w:val="44"/>
          <w:sz w:val="28"/>
          <w:szCs w:val="28"/>
        </w:rPr>
        <w:instrText xml:space="preserve"> PAGEREF _Toc7712 </w:instrText>
      </w:r>
      <w:r>
        <w:rPr>
          <w:kern w:val="44"/>
          <w:sz w:val="28"/>
          <w:szCs w:val="28"/>
        </w:rPr>
        <w:fldChar w:fldCharType="separate"/>
      </w:r>
      <w:r>
        <w:rPr>
          <w:kern w:val="44"/>
          <w:sz w:val="28"/>
          <w:szCs w:val="28"/>
        </w:rPr>
        <w:t>18</w:t>
      </w:r>
      <w:r>
        <w:rPr>
          <w:kern w:val="44"/>
          <w:sz w:val="28"/>
          <w:szCs w:val="28"/>
        </w:rPr>
        <w:fldChar w:fldCharType="end"/>
      </w:r>
      <w:r>
        <w:rPr>
          <w:kern w:val="44"/>
          <w:sz w:val="28"/>
          <w:szCs w:val="28"/>
        </w:rPr>
        <w:fldChar w:fldCharType="end"/>
      </w:r>
    </w:p>
    <w:p>
      <w:pPr>
        <w:pStyle w:val="11"/>
        <w:tabs>
          <w:tab w:val="right" w:leader="dot" w:pos="9638"/>
        </w:tabs>
        <w:spacing w:line="500" w:lineRule="exact"/>
        <w:rPr>
          <w:kern w:val="44"/>
          <w:sz w:val="28"/>
          <w:szCs w:val="28"/>
        </w:rPr>
      </w:pPr>
      <w:r>
        <w:fldChar w:fldCharType="begin"/>
      </w:r>
      <w:r>
        <w:instrText xml:space="preserve"> HYPERLINK \l "_Toc7713" </w:instrText>
      </w:r>
      <w:r>
        <w:fldChar w:fldCharType="separate"/>
      </w:r>
      <w:r>
        <w:rPr>
          <w:rFonts w:hint="eastAsia" w:ascii="仿宋_GB2312" w:hAnsi="仿宋_GB2312" w:cs="仿宋_GB2312"/>
          <w:kern w:val="44"/>
          <w:sz w:val="28"/>
          <w:szCs w:val="28"/>
        </w:rPr>
        <w:t>九、毕业要求</w:t>
      </w:r>
      <w:r>
        <w:rPr>
          <w:kern w:val="44"/>
          <w:sz w:val="28"/>
          <w:szCs w:val="28"/>
        </w:rPr>
        <w:tab/>
      </w:r>
      <w:r>
        <w:rPr>
          <w:kern w:val="44"/>
          <w:sz w:val="28"/>
          <w:szCs w:val="28"/>
        </w:rPr>
        <w:fldChar w:fldCharType="begin"/>
      </w:r>
      <w:r>
        <w:rPr>
          <w:kern w:val="44"/>
          <w:sz w:val="28"/>
          <w:szCs w:val="28"/>
        </w:rPr>
        <w:instrText xml:space="preserve"> PAGEREF _Toc7713 </w:instrText>
      </w:r>
      <w:r>
        <w:rPr>
          <w:kern w:val="44"/>
          <w:sz w:val="28"/>
          <w:szCs w:val="28"/>
        </w:rPr>
        <w:fldChar w:fldCharType="separate"/>
      </w:r>
      <w:r>
        <w:rPr>
          <w:kern w:val="44"/>
          <w:sz w:val="28"/>
          <w:szCs w:val="28"/>
        </w:rPr>
        <w:t>18</w:t>
      </w:r>
      <w:r>
        <w:rPr>
          <w:kern w:val="44"/>
          <w:sz w:val="28"/>
          <w:szCs w:val="28"/>
        </w:rPr>
        <w:fldChar w:fldCharType="end"/>
      </w:r>
      <w:r>
        <w:rPr>
          <w:kern w:val="44"/>
          <w:sz w:val="28"/>
          <w:szCs w:val="28"/>
        </w:rPr>
        <w:fldChar w:fldCharType="end"/>
      </w:r>
    </w:p>
    <w:p>
      <w:pPr>
        <w:pStyle w:val="11"/>
        <w:tabs>
          <w:tab w:val="right" w:leader="dot" w:pos="9638"/>
        </w:tabs>
        <w:spacing w:line="500" w:lineRule="exact"/>
        <w:rPr>
          <w:kern w:val="44"/>
          <w:sz w:val="28"/>
          <w:szCs w:val="28"/>
        </w:rPr>
      </w:pPr>
      <w:r>
        <w:fldChar w:fldCharType="begin"/>
      </w:r>
      <w:r>
        <w:instrText xml:space="preserve"> HYPERLINK \l "_Toc5845" </w:instrText>
      </w:r>
      <w:r>
        <w:fldChar w:fldCharType="separate"/>
      </w:r>
      <w:r>
        <w:rPr>
          <w:rFonts w:hint="eastAsia" w:ascii="仿宋_GB2312" w:hAnsi="仿宋_GB2312" w:cs="仿宋_GB2312"/>
          <w:kern w:val="44"/>
          <w:sz w:val="28"/>
          <w:szCs w:val="28"/>
        </w:rPr>
        <w:t>十、其他</w:t>
      </w:r>
      <w:r>
        <w:rPr>
          <w:kern w:val="44"/>
          <w:sz w:val="28"/>
          <w:szCs w:val="28"/>
        </w:rPr>
        <w:tab/>
      </w:r>
      <w:r>
        <w:rPr>
          <w:kern w:val="44"/>
          <w:sz w:val="28"/>
          <w:szCs w:val="28"/>
        </w:rPr>
        <w:fldChar w:fldCharType="begin"/>
      </w:r>
      <w:r>
        <w:rPr>
          <w:kern w:val="44"/>
          <w:sz w:val="28"/>
          <w:szCs w:val="28"/>
        </w:rPr>
        <w:instrText xml:space="preserve"> PAGEREF _Toc5845 </w:instrText>
      </w:r>
      <w:r>
        <w:rPr>
          <w:kern w:val="44"/>
          <w:sz w:val="28"/>
          <w:szCs w:val="28"/>
        </w:rPr>
        <w:fldChar w:fldCharType="separate"/>
      </w:r>
      <w:r>
        <w:rPr>
          <w:kern w:val="44"/>
          <w:sz w:val="28"/>
          <w:szCs w:val="28"/>
        </w:rPr>
        <w:t>19</w:t>
      </w:r>
      <w:r>
        <w:rPr>
          <w:kern w:val="44"/>
          <w:sz w:val="28"/>
          <w:szCs w:val="28"/>
        </w:rPr>
        <w:fldChar w:fldCharType="end"/>
      </w:r>
      <w:r>
        <w:rPr>
          <w:kern w:val="44"/>
          <w:sz w:val="28"/>
          <w:szCs w:val="28"/>
        </w:rPr>
        <w:fldChar w:fldCharType="end"/>
      </w:r>
    </w:p>
    <w:p>
      <w:pPr>
        <w:pStyle w:val="14"/>
        <w:tabs>
          <w:tab w:val="right" w:leader="dot" w:pos="9638"/>
        </w:tabs>
        <w:spacing w:line="500" w:lineRule="exact"/>
        <w:ind w:left="640"/>
        <w:rPr>
          <w:kern w:val="44"/>
          <w:sz w:val="28"/>
          <w:szCs w:val="28"/>
        </w:rPr>
      </w:pPr>
      <w:r>
        <w:fldChar w:fldCharType="begin"/>
      </w:r>
      <w:r>
        <w:instrText xml:space="preserve"> HYPERLINK \l "_Toc32256" </w:instrText>
      </w:r>
      <w:r>
        <w:fldChar w:fldCharType="separate"/>
      </w:r>
      <w:r>
        <w:rPr>
          <w:rFonts w:hint="eastAsia" w:ascii="仿宋_GB2312" w:hAnsi="仿宋_GB2312" w:cs="仿宋_GB2312"/>
          <w:kern w:val="44"/>
          <w:sz w:val="28"/>
          <w:szCs w:val="28"/>
        </w:rPr>
        <w:t>（一）编写依据</w:t>
      </w:r>
      <w:r>
        <w:rPr>
          <w:kern w:val="44"/>
          <w:sz w:val="28"/>
          <w:szCs w:val="28"/>
        </w:rPr>
        <w:tab/>
      </w:r>
      <w:r>
        <w:rPr>
          <w:kern w:val="44"/>
          <w:sz w:val="28"/>
          <w:szCs w:val="28"/>
        </w:rPr>
        <w:fldChar w:fldCharType="begin"/>
      </w:r>
      <w:r>
        <w:rPr>
          <w:kern w:val="44"/>
          <w:sz w:val="28"/>
          <w:szCs w:val="28"/>
        </w:rPr>
        <w:instrText xml:space="preserve"> PAGEREF _Toc32256 </w:instrText>
      </w:r>
      <w:r>
        <w:rPr>
          <w:kern w:val="44"/>
          <w:sz w:val="28"/>
          <w:szCs w:val="28"/>
        </w:rPr>
        <w:fldChar w:fldCharType="separate"/>
      </w:r>
      <w:r>
        <w:rPr>
          <w:kern w:val="44"/>
          <w:sz w:val="28"/>
          <w:szCs w:val="28"/>
        </w:rPr>
        <w:t>19</w:t>
      </w:r>
      <w:r>
        <w:rPr>
          <w:kern w:val="44"/>
          <w:sz w:val="28"/>
          <w:szCs w:val="28"/>
        </w:rPr>
        <w:fldChar w:fldCharType="end"/>
      </w:r>
      <w:r>
        <w:rPr>
          <w:kern w:val="44"/>
          <w:sz w:val="28"/>
          <w:szCs w:val="28"/>
        </w:rPr>
        <w:fldChar w:fldCharType="end"/>
      </w:r>
    </w:p>
    <w:p>
      <w:pPr>
        <w:pStyle w:val="14"/>
        <w:tabs>
          <w:tab w:val="right" w:leader="dot" w:pos="9638"/>
        </w:tabs>
        <w:spacing w:line="500" w:lineRule="exact"/>
        <w:ind w:left="640"/>
        <w:rPr>
          <w:kern w:val="44"/>
          <w:sz w:val="28"/>
          <w:szCs w:val="28"/>
        </w:rPr>
      </w:pPr>
      <w:r>
        <w:fldChar w:fldCharType="begin"/>
      </w:r>
      <w:r>
        <w:instrText xml:space="preserve"> HYPERLINK \l "_Toc25178" </w:instrText>
      </w:r>
      <w:r>
        <w:fldChar w:fldCharType="separate"/>
      </w:r>
      <w:r>
        <w:rPr>
          <w:rFonts w:hint="eastAsia" w:ascii="仿宋_GB2312" w:hAnsi="仿宋_GB2312" w:cs="仿宋_GB2312"/>
          <w:kern w:val="44"/>
          <w:sz w:val="28"/>
          <w:szCs w:val="28"/>
        </w:rPr>
        <w:t>（二）适用范围</w:t>
      </w:r>
      <w:r>
        <w:rPr>
          <w:kern w:val="44"/>
          <w:sz w:val="28"/>
          <w:szCs w:val="28"/>
        </w:rPr>
        <w:tab/>
      </w:r>
      <w:r>
        <w:rPr>
          <w:kern w:val="44"/>
          <w:sz w:val="28"/>
          <w:szCs w:val="28"/>
        </w:rPr>
        <w:fldChar w:fldCharType="begin"/>
      </w:r>
      <w:r>
        <w:rPr>
          <w:kern w:val="44"/>
          <w:sz w:val="28"/>
          <w:szCs w:val="28"/>
        </w:rPr>
        <w:instrText xml:space="preserve"> PAGEREF _Toc25178 </w:instrText>
      </w:r>
      <w:r>
        <w:rPr>
          <w:kern w:val="44"/>
          <w:sz w:val="28"/>
          <w:szCs w:val="28"/>
        </w:rPr>
        <w:fldChar w:fldCharType="separate"/>
      </w:r>
      <w:r>
        <w:rPr>
          <w:kern w:val="44"/>
          <w:sz w:val="28"/>
          <w:szCs w:val="28"/>
        </w:rPr>
        <w:t>19</w:t>
      </w:r>
      <w:r>
        <w:rPr>
          <w:kern w:val="44"/>
          <w:sz w:val="28"/>
          <w:szCs w:val="28"/>
        </w:rPr>
        <w:fldChar w:fldCharType="end"/>
      </w:r>
      <w:r>
        <w:rPr>
          <w:kern w:val="44"/>
          <w:sz w:val="28"/>
          <w:szCs w:val="28"/>
        </w:rPr>
        <w:fldChar w:fldCharType="end"/>
      </w:r>
    </w:p>
    <w:p>
      <w:pPr>
        <w:pStyle w:val="14"/>
        <w:tabs>
          <w:tab w:val="right" w:leader="dot" w:pos="9638"/>
        </w:tabs>
        <w:spacing w:line="500" w:lineRule="exact"/>
        <w:ind w:left="640"/>
        <w:rPr>
          <w:kern w:val="44"/>
          <w:sz w:val="28"/>
          <w:szCs w:val="28"/>
        </w:rPr>
      </w:pPr>
      <w:r>
        <w:fldChar w:fldCharType="begin"/>
      </w:r>
      <w:r>
        <w:instrText xml:space="preserve"> HYPERLINK \l "_Toc32432" </w:instrText>
      </w:r>
      <w:r>
        <w:fldChar w:fldCharType="separate"/>
      </w:r>
      <w:r>
        <w:rPr>
          <w:rFonts w:hint="eastAsia" w:ascii="仿宋_GB2312" w:hAnsi="仿宋_GB2312" w:cs="仿宋_GB2312"/>
          <w:kern w:val="44"/>
          <w:sz w:val="28"/>
          <w:szCs w:val="28"/>
        </w:rPr>
        <w:t>（三）修订原则</w:t>
      </w:r>
      <w:r>
        <w:rPr>
          <w:kern w:val="44"/>
          <w:sz w:val="28"/>
          <w:szCs w:val="28"/>
        </w:rPr>
        <w:tab/>
      </w:r>
      <w:r>
        <w:rPr>
          <w:kern w:val="44"/>
          <w:sz w:val="28"/>
          <w:szCs w:val="28"/>
        </w:rPr>
        <w:fldChar w:fldCharType="begin"/>
      </w:r>
      <w:r>
        <w:rPr>
          <w:kern w:val="44"/>
          <w:sz w:val="28"/>
          <w:szCs w:val="28"/>
        </w:rPr>
        <w:instrText xml:space="preserve"> PAGEREF _Toc32432 </w:instrText>
      </w:r>
      <w:r>
        <w:rPr>
          <w:kern w:val="44"/>
          <w:sz w:val="28"/>
          <w:szCs w:val="28"/>
        </w:rPr>
        <w:fldChar w:fldCharType="separate"/>
      </w:r>
      <w:r>
        <w:rPr>
          <w:kern w:val="44"/>
          <w:sz w:val="28"/>
          <w:szCs w:val="28"/>
        </w:rPr>
        <w:t>19</w:t>
      </w:r>
      <w:r>
        <w:rPr>
          <w:kern w:val="44"/>
          <w:sz w:val="28"/>
          <w:szCs w:val="28"/>
        </w:rPr>
        <w:fldChar w:fldCharType="end"/>
      </w:r>
      <w:r>
        <w:rPr>
          <w:kern w:val="44"/>
          <w:sz w:val="28"/>
          <w:szCs w:val="28"/>
        </w:rPr>
        <w:fldChar w:fldCharType="end"/>
      </w:r>
    </w:p>
    <w:p>
      <w:pPr>
        <w:pStyle w:val="2"/>
        <w:spacing w:line="500" w:lineRule="exact"/>
        <w:rPr>
          <w:rFonts w:ascii="仿宋_GB2312" w:hAnsi="仿宋_GB2312" w:cs="仿宋_GB2312"/>
          <w:sz w:val="28"/>
          <w:szCs w:val="28"/>
        </w:rPr>
        <w:sectPr>
          <w:footerReference r:id="rId3" w:type="default"/>
          <w:pgSz w:w="11906" w:h="16838"/>
          <w:pgMar w:top="1134" w:right="1134" w:bottom="1134" w:left="1134" w:header="851" w:footer="992" w:gutter="0"/>
          <w:pgNumType w:start="1"/>
          <w:cols w:space="0" w:num="1"/>
          <w:docGrid w:type="lines" w:linePitch="312" w:charSpace="0"/>
        </w:sectPr>
      </w:pPr>
    </w:p>
    <w:p>
      <w:pPr>
        <w:pStyle w:val="2"/>
        <w:pageBreakBefore w:val="0"/>
        <w:widowControl w:val="0"/>
        <w:kinsoku/>
        <w:wordWrap/>
        <w:overflowPunct/>
        <w:topLinePunct w:val="0"/>
        <w:autoSpaceDE/>
        <w:autoSpaceDN/>
        <w:bidi w:val="0"/>
        <w:adjustRightInd/>
        <w:snapToGrid/>
        <w:spacing w:before="0" w:after="0" w:line="560" w:lineRule="exact"/>
        <w:textAlignment w:val="auto"/>
        <w:rPr>
          <w:rFonts w:ascii="仿宋_GB2312" w:hAnsi="仿宋_GB2312" w:cs="仿宋_GB2312"/>
          <w:sz w:val="32"/>
          <w:szCs w:val="32"/>
        </w:rPr>
      </w:pPr>
      <w:r>
        <w:rPr>
          <w:rFonts w:hint="eastAsia" w:ascii="仿宋_GB2312" w:hAnsi="仿宋_GB2312" w:cs="仿宋_GB2312"/>
          <w:sz w:val="28"/>
          <w:szCs w:val="28"/>
        </w:rPr>
        <w:fldChar w:fldCharType="end"/>
      </w:r>
      <w:bookmarkStart w:id="2" w:name="_Toc29315"/>
      <w:r>
        <w:rPr>
          <w:rFonts w:hint="eastAsia" w:ascii="仿宋_GB2312" w:hAnsi="仿宋_GB2312" w:cs="仿宋_GB2312"/>
          <w:sz w:val="28"/>
          <w:szCs w:val="28"/>
          <w:lang w:val="en-US" w:eastAsia="zh-CN"/>
        </w:rPr>
        <w:t xml:space="preserve">    </w:t>
      </w:r>
      <w:r>
        <w:rPr>
          <w:rFonts w:hint="eastAsia" w:ascii="仿宋_GB2312" w:hAnsi="仿宋_GB2312" w:cs="仿宋_GB2312"/>
          <w:sz w:val="32"/>
          <w:szCs w:val="32"/>
        </w:rPr>
        <w:t>一、专业名称（专业代码）</w:t>
      </w:r>
      <w:bookmarkEnd w:id="0"/>
      <w:bookmarkEnd w:id="1"/>
      <w:bookmarkEnd w:id="2"/>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专业名称：新能源汽车运用与维修</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专业代码：700209</w:t>
      </w:r>
    </w:p>
    <w:p>
      <w:pPr>
        <w:pStyle w:val="2"/>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ascii="仿宋_GB2312" w:hAnsi="仿宋_GB2312" w:cs="仿宋_GB2312"/>
          <w:sz w:val="32"/>
          <w:szCs w:val="32"/>
        </w:rPr>
      </w:pPr>
      <w:bookmarkStart w:id="3" w:name="bookmark10"/>
      <w:bookmarkStart w:id="4" w:name="bookmark11"/>
      <w:bookmarkStart w:id="5" w:name="_Toc15543"/>
      <w:bookmarkStart w:id="6" w:name="_Toc14981"/>
      <w:bookmarkStart w:id="7" w:name="_Toc27097"/>
      <w:bookmarkStart w:id="8" w:name="bookmark8"/>
      <w:bookmarkStart w:id="9" w:name="_Toc27310"/>
      <w:bookmarkStart w:id="10" w:name="bookmark9"/>
      <w:r>
        <w:rPr>
          <w:rFonts w:hint="eastAsia" w:ascii="仿宋_GB2312" w:hAnsi="仿宋_GB2312" w:cs="仿宋_GB2312"/>
          <w:sz w:val="32"/>
          <w:szCs w:val="32"/>
        </w:rPr>
        <w:t>二</w:t>
      </w:r>
      <w:bookmarkEnd w:id="3"/>
      <w:r>
        <w:rPr>
          <w:rFonts w:hint="eastAsia" w:ascii="仿宋_GB2312" w:hAnsi="仿宋_GB2312" w:cs="仿宋_GB2312"/>
          <w:sz w:val="32"/>
          <w:szCs w:val="32"/>
        </w:rPr>
        <w:t>、入学要求</w:t>
      </w:r>
      <w:bookmarkEnd w:id="4"/>
      <w:bookmarkEnd w:id="5"/>
      <w:bookmarkEnd w:id="6"/>
      <w:bookmarkEnd w:id="7"/>
      <w:bookmarkEnd w:id="8"/>
      <w:bookmarkEnd w:id="9"/>
      <w:bookmarkEnd w:id="10"/>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初中毕业或具有同等及以上学力者</w:t>
      </w:r>
    </w:p>
    <w:p>
      <w:pPr>
        <w:pStyle w:val="2"/>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ascii="仿宋_GB2312" w:hAnsi="仿宋_GB2312" w:cs="仿宋_GB2312"/>
          <w:sz w:val="32"/>
          <w:szCs w:val="32"/>
        </w:rPr>
      </w:pPr>
      <w:bookmarkStart w:id="11" w:name="bookmark14"/>
      <w:bookmarkStart w:id="12" w:name="bookmark13"/>
      <w:bookmarkStart w:id="13" w:name="bookmark12"/>
      <w:bookmarkStart w:id="14" w:name="_Toc26669"/>
      <w:bookmarkStart w:id="15" w:name="_Toc14218"/>
      <w:bookmarkStart w:id="16" w:name="_Toc29084"/>
      <w:bookmarkStart w:id="17" w:name="_Toc3197"/>
      <w:bookmarkStart w:id="18" w:name="bookmark15"/>
      <w:r>
        <w:rPr>
          <w:rFonts w:hint="eastAsia" w:ascii="仿宋_GB2312" w:hAnsi="仿宋_GB2312" w:cs="仿宋_GB2312"/>
          <w:sz w:val="32"/>
          <w:szCs w:val="32"/>
        </w:rPr>
        <w:t>三</w:t>
      </w:r>
      <w:bookmarkEnd w:id="11"/>
      <w:r>
        <w:rPr>
          <w:rFonts w:hint="eastAsia" w:ascii="仿宋_GB2312" w:hAnsi="仿宋_GB2312" w:cs="仿宋_GB2312"/>
          <w:sz w:val="32"/>
          <w:szCs w:val="32"/>
        </w:rPr>
        <w:t>、修业年限</w:t>
      </w:r>
      <w:bookmarkEnd w:id="12"/>
      <w:bookmarkEnd w:id="13"/>
      <w:bookmarkEnd w:id="14"/>
      <w:bookmarkEnd w:id="15"/>
      <w:bookmarkEnd w:id="16"/>
      <w:bookmarkEnd w:id="17"/>
      <w:bookmarkEnd w:id="18"/>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三年</w:t>
      </w:r>
    </w:p>
    <w:p>
      <w:pPr>
        <w:pStyle w:val="2"/>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ascii="仿宋_GB2312" w:hAnsi="仿宋_GB2312" w:cs="仿宋_GB2312"/>
          <w:sz w:val="32"/>
          <w:szCs w:val="32"/>
        </w:rPr>
      </w:pPr>
      <w:bookmarkStart w:id="19" w:name="bookmark16"/>
      <w:bookmarkStart w:id="20" w:name="_Toc22514"/>
      <w:bookmarkStart w:id="21" w:name="_Toc12939"/>
      <w:bookmarkStart w:id="22" w:name="_Toc25014"/>
      <w:bookmarkStart w:id="23" w:name="_Toc29307"/>
      <w:r>
        <w:rPr>
          <w:rFonts w:hint="eastAsia" w:ascii="仿宋_GB2312" w:hAnsi="仿宋_GB2312" w:cs="仿宋_GB2312"/>
          <w:sz w:val="32"/>
          <w:szCs w:val="32"/>
        </w:rPr>
        <w:t>四</w:t>
      </w:r>
      <w:bookmarkEnd w:id="19"/>
      <w:r>
        <w:rPr>
          <w:rFonts w:hint="eastAsia" w:ascii="仿宋_GB2312" w:hAnsi="仿宋_GB2312" w:cs="仿宋_GB2312"/>
          <w:sz w:val="32"/>
          <w:szCs w:val="32"/>
        </w:rPr>
        <w:t>、职业面向和接续专业</w:t>
      </w:r>
      <w:bookmarkEnd w:id="20"/>
      <w:bookmarkEnd w:id="21"/>
      <w:bookmarkEnd w:id="22"/>
      <w:bookmarkEnd w:id="23"/>
    </w:p>
    <w:p>
      <w:pPr>
        <w:pStyle w:val="3"/>
        <w:pageBreakBefore w:val="0"/>
        <w:widowControl w:val="0"/>
        <w:kinsoku/>
        <w:wordWrap/>
        <w:overflowPunct/>
        <w:topLinePunct w:val="0"/>
        <w:autoSpaceDE/>
        <w:autoSpaceDN/>
        <w:bidi w:val="0"/>
        <w:adjustRightInd/>
        <w:snapToGrid/>
        <w:spacing w:before="0" w:after="0" w:line="560" w:lineRule="exact"/>
        <w:ind w:firstLine="562" w:firstLineChars="200"/>
        <w:textAlignment w:val="auto"/>
        <w:rPr>
          <w:rFonts w:ascii="仿宋_GB2312" w:hAnsi="仿宋_GB2312" w:cs="仿宋_GB2312"/>
          <w:szCs w:val="28"/>
        </w:rPr>
      </w:pPr>
      <w:bookmarkStart w:id="24" w:name="_Toc22472"/>
      <w:bookmarkStart w:id="25" w:name="_Toc31534"/>
      <w:bookmarkStart w:id="26" w:name="_Toc15343"/>
      <w:bookmarkStart w:id="27" w:name="_Toc21411"/>
      <w:r>
        <w:rPr>
          <w:rFonts w:hint="eastAsia" w:ascii="仿宋_GB2312" w:hAnsi="仿宋_GB2312" w:cs="仿宋_GB2312"/>
          <w:szCs w:val="28"/>
        </w:rPr>
        <w:t>（一</w:t>
      </w:r>
      <w:r>
        <w:rPr>
          <w:rFonts w:hint="eastAsia" w:ascii="仿宋_GB2312" w:hAnsi="仿宋_GB2312" w:cs="仿宋_GB2312"/>
          <w:szCs w:val="28"/>
          <w:lang w:val="zh-CN"/>
        </w:rPr>
        <w:t>）职</w:t>
      </w:r>
      <w:r>
        <w:rPr>
          <w:rFonts w:hint="eastAsia" w:ascii="仿宋_GB2312" w:hAnsi="仿宋_GB2312" w:cs="仿宋_GB2312"/>
          <w:szCs w:val="28"/>
        </w:rPr>
        <w:t>业面向</w:t>
      </w:r>
      <w:bookmarkEnd w:id="24"/>
      <w:bookmarkEnd w:id="25"/>
      <w:bookmarkEnd w:id="26"/>
      <w:bookmarkEnd w:id="27"/>
    </w:p>
    <w:tbl>
      <w:tblPr>
        <w:tblStyle w:val="17"/>
        <w:tblW w:w="9920" w:type="dxa"/>
        <w:jc w:val="center"/>
        <w:tblLayout w:type="fixed"/>
        <w:tblCellMar>
          <w:top w:w="0" w:type="dxa"/>
          <w:left w:w="10" w:type="dxa"/>
          <w:bottom w:w="0" w:type="dxa"/>
          <w:right w:w="10" w:type="dxa"/>
        </w:tblCellMar>
      </w:tblPr>
      <w:tblGrid>
        <w:gridCol w:w="1417"/>
        <w:gridCol w:w="1417"/>
        <w:gridCol w:w="1417"/>
        <w:gridCol w:w="1417"/>
        <w:gridCol w:w="1701"/>
        <w:gridCol w:w="2551"/>
      </w:tblGrid>
      <w:tr>
        <w:tblPrEx>
          <w:tblCellMar>
            <w:top w:w="0" w:type="dxa"/>
            <w:left w:w="10" w:type="dxa"/>
            <w:bottom w:w="0" w:type="dxa"/>
            <w:right w:w="10" w:type="dxa"/>
          </w:tblCellMar>
        </w:tblPrEx>
        <w:trPr>
          <w:trHeight w:val="985" w:hRule="exact"/>
          <w:jc w:val="center"/>
        </w:trPr>
        <w:tc>
          <w:tcPr>
            <w:tcW w:w="1417" w:type="dxa"/>
            <w:tcBorders>
              <w:top w:val="single" w:color="auto" w:sz="4" w:space="0"/>
              <w:left w:val="single" w:color="auto" w:sz="4" w:space="0"/>
            </w:tcBorders>
            <w:shd w:val="clear" w:color="auto" w:fill="FFFFFF"/>
            <w:vAlign w:val="center"/>
          </w:tcPr>
          <w:p>
            <w:pPr>
              <w:jc w:val="center"/>
              <w:rPr>
                <w:sz w:val="21"/>
                <w:szCs w:val="21"/>
              </w:rPr>
            </w:pPr>
            <w:r>
              <w:rPr>
                <w:rFonts w:hint="eastAsia"/>
                <w:sz w:val="21"/>
                <w:szCs w:val="21"/>
              </w:rPr>
              <w:t>所属专业大类及代码</w:t>
            </w:r>
          </w:p>
        </w:tc>
        <w:tc>
          <w:tcPr>
            <w:tcW w:w="1417" w:type="dxa"/>
            <w:tcBorders>
              <w:top w:val="single" w:color="auto" w:sz="4" w:space="0"/>
              <w:left w:val="single" w:color="auto" w:sz="4" w:space="0"/>
            </w:tcBorders>
            <w:shd w:val="clear" w:color="auto" w:fill="FFFFFF"/>
            <w:vAlign w:val="center"/>
          </w:tcPr>
          <w:p>
            <w:pPr>
              <w:jc w:val="center"/>
              <w:rPr>
                <w:sz w:val="21"/>
                <w:szCs w:val="21"/>
              </w:rPr>
            </w:pPr>
            <w:r>
              <w:rPr>
                <w:rFonts w:hint="eastAsia"/>
                <w:sz w:val="21"/>
                <w:szCs w:val="21"/>
              </w:rPr>
              <w:t>所属专业类及代码</w:t>
            </w:r>
          </w:p>
        </w:tc>
        <w:tc>
          <w:tcPr>
            <w:tcW w:w="1417" w:type="dxa"/>
            <w:tcBorders>
              <w:top w:val="single" w:color="auto" w:sz="4" w:space="0"/>
              <w:left w:val="single" w:color="auto" w:sz="4" w:space="0"/>
            </w:tcBorders>
            <w:shd w:val="clear" w:color="auto" w:fill="FFFFFF"/>
            <w:vAlign w:val="center"/>
          </w:tcPr>
          <w:p>
            <w:pPr>
              <w:jc w:val="center"/>
              <w:rPr>
                <w:sz w:val="21"/>
                <w:szCs w:val="21"/>
              </w:rPr>
            </w:pPr>
            <w:r>
              <w:rPr>
                <w:rFonts w:hint="eastAsia"/>
                <w:sz w:val="21"/>
                <w:szCs w:val="21"/>
              </w:rPr>
              <w:t>对应行业及代码</w:t>
            </w:r>
          </w:p>
        </w:tc>
        <w:tc>
          <w:tcPr>
            <w:tcW w:w="1417" w:type="dxa"/>
            <w:tcBorders>
              <w:top w:val="single" w:color="auto" w:sz="4" w:space="0"/>
              <w:left w:val="single" w:color="auto" w:sz="4" w:space="0"/>
            </w:tcBorders>
            <w:shd w:val="clear" w:color="auto" w:fill="FFFFFF"/>
            <w:vAlign w:val="center"/>
          </w:tcPr>
          <w:p>
            <w:pPr>
              <w:jc w:val="center"/>
              <w:rPr>
                <w:sz w:val="21"/>
                <w:szCs w:val="21"/>
              </w:rPr>
            </w:pPr>
            <w:r>
              <w:rPr>
                <w:rFonts w:hint="eastAsia"/>
                <w:sz w:val="21"/>
                <w:szCs w:val="21"/>
              </w:rPr>
              <w:t>主要职业类别及代码</w:t>
            </w:r>
          </w:p>
        </w:tc>
        <w:tc>
          <w:tcPr>
            <w:tcW w:w="1701" w:type="dxa"/>
            <w:tcBorders>
              <w:top w:val="single" w:color="auto" w:sz="4" w:space="0"/>
              <w:left w:val="single" w:color="auto" w:sz="4" w:space="0"/>
            </w:tcBorders>
            <w:shd w:val="clear" w:color="auto" w:fill="FFFFFF"/>
            <w:vAlign w:val="center"/>
          </w:tcPr>
          <w:p>
            <w:pPr>
              <w:jc w:val="center"/>
              <w:rPr>
                <w:sz w:val="21"/>
                <w:szCs w:val="21"/>
              </w:rPr>
            </w:pPr>
            <w:r>
              <w:rPr>
                <w:rFonts w:hint="eastAsia"/>
                <w:sz w:val="21"/>
                <w:szCs w:val="21"/>
              </w:rPr>
              <w:t>主要岗位类别（或技术领域）</w:t>
            </w:r>
          </w:p>
        </w:tc>
        <w:tc>
          <w:tcPr>
            <w:tcW w:w="2551" w:type="dxa"/>
            <w:tcBorders>
              <w:top w:val="single" w:color="auto" w:sz="4" w:space="0"/>
              <w:left w:val="single" w:color="auto" w:sz="4" w:space="0"/>
              <w:right w:val="single" w:color="auto" w:sz="4" w:space="0"/>
            </w:tcBorders>
            <w:shd w:val="clear" w:color="auto" w:fill="FFFFFF"/>
            <w:vAlign w:val="center"/>
          </w:tcPr>
          <w:p>
            <w:pPr>
              <w:jc w:val="center"/>
              <w:rPr>
                <w:sz w:val="21"/>
                <w:szCs w:val="21"/>
              </w:rPr>
            </w:pPr>
            <w:r>
              <w:rPr>
                <w:rFonts w:hint="eastAsia"/>
                <w:sz w:val="21"/>
                <w:szCs w:val="21"/>
              </w:rPr>
              <w:t>职业技能等级证书、行业企业标准和证书举例</w:t>
            </w:r>
          </w:p>
        </w:tc>
      </w:tr>
      <w:tr>
        <w:tblPrEx>
          <w:tblCellMar>
            <w:top w:w="0" w:type="dxa"/>
            <w:left w:w="10" w:type="dxa"/>
            <w:bottom w:w="0" w:type="dxa"/>
            <w:right w:w="10" w:type="dxa"/>
          </w:tblCellMar>
        </w:tblPrEx>
        <w:trPr>
          <w:trHeight w:val="1314" w:hRule="exact"/>
          <w:jc w:val="center"/>
        </w:trPr>
        <w:tc>
          <w:tcPr>
            <w:tcW w:w="1417" w:type="dxa"/>
            <w:tcBorders>
              <w:top w:val="single" w:color="auto" w:sz="4" w:space="0"/>
              <w:left w:val="single" w:color="auto" w:sz="4" w:space="0"/>
              <w:bottom w:val="single" w:color="auto" w:sz="4" w:space="0"/>
            </w:tcBorders>
            <w:shd w:val="clear" w:color="auto" w:fill="FFFFFF"/>
            <w:vAlign w:val="center"/>
          </w:tcPr>
          <w:p>
            <w:pPr>
              <w:jc w:val="center"/>
              <w:rPr>
                <w:sz w:val="21"/>
                <w:szCs w:val="21"/>
              </w:rPr>
            </w:pPr>
            <w:r>
              <w:rPr>
                <w:rFonts w:hint="eastAsia"/>
                <w:sz w:val="21"/>
                <w:szCs w:val="21"/>
              </w:rPr>
              <w:t>社会生产服务 和生活服务人 员（GBM40000）</w:t>
            </w:r>
          </w:p>
        </w:tc>
        <w:tc>
          <w:tcPr>
            <w:tcW w:w="1417" w:type="dxa"/>
            <w:tcBorders>
              <w:top w:val="single" w:color="auto" w:sz="4" w:space="0"/>
              <w:left w:val="single" w:color="auto" w:sz="4" w:space="0"/>
              <w:bottom w:val="single" w:color="auto" w:sz="4" w:space="0"/>
            </w:tcBorders>
            <w:shd w:val="clear" w:color="auto" w:fill="FFFFFF"/>
            <w:vAlign w:val="center"/>
          </w:tcPr>
          <w:p>
            <w:pPr>
              <w:jc w:val="center"/>
              <w:rPr>
                <w:sz w:val="21"/>
                <w:szCs w:val="21"/>
              </w:rPr>
            </w:pPr>
            <w:r>
              <w:rPr>
                <w:rFonts w:hint="eastAsia"/>
                <w:sz w:val="21"/>
                <w:szCs w:val="21"/>
              </w:rPr>
              <w:t>修理及制作服务人员 （GBM41200）</w:t>
            </w:r>
          </w:p>
        </w:tc>
        <w:tc>
          <w:tcPr>
            <w:tcW w:w="1417" w:type="dxa"/>
            <w:tcBorders>
              <w:top w:val="single" w:color="auto" w:sz="4" w:space="0"/>
              <w:left w:val="single" w:color="auto" w:sz="4" w:space="0"/>
              <w:bottom w:val="single" w:color="auto" w:sz="4" w:space="0"/>
            </w:tcBorders>
            <w:shd w:val="clear" w:color="auto" w:fill="FFFFFF"/>
            <w:vAlign w:val="center"/>
          </w:tcPr>
          <w:p>
            <w:pPr>
              <w:jc w:val="center"/>
              <w:rPr>
                <w:sz w:val="21"/>
                <w:szCs w:val="21"/>
              </w:rPr>
            </w:pPr>
            <w:r>
              <w:rPr>
                <w:rFonts w:hint="eastAsia"/>
                <w:sz w:val="21"/>
                <w:szCs w:val="21"/>
              </w:rPr>
              <w:t>汽车摩托车修理技术服务人员（GBM41201）</w:t>
            </w:r>
          </w:p>
        </w:tc>
        <w:tc>
          <w:tcPr>
            <w:tcW w:w="1417" w:type="dxa"/>
            <w:tcBorders>
              <w:top w:val="single" w:color="auto" w:sz="4" w:space="0"/>
              <w:left w:val="single" w:color="auto" w:sz="4" w:space="0"/>
              <w:bottom w:val="single" w:color="auto" w:sz="4" w:space="0"/>
            </w:tcBorders>
            <w:shd w:val="clear" w:color="auto" w:fill="FFFFFF"/>
            <w:vAlign w:val="center"/>
          </w:tcPr>
          <w:p>
            <w:pPr>
              <w:jc w:val="center"/>
              <w:rPr>
                <w:sz w:val="21"/>
                <w:szCs w:val="21"/>
              </w:rPr>
            </w:pPr>
            <w:r>
              <w:rPr>
                <w:rFonts w:hint="eastAsia"/>
                <w:sz w:val="21"/>
                <w:szCs w:val="21"/>
              </w:rPr>
              <w:t>汽车维修工</w:t>
            </w:r>
            <w:r>
              <w:rPr>
                <w:rFonts w:hint="eastAsia"/>
                <w:sz w:val="21"/>
                <w:szCs w:val="21"/>
                <w:lang w:eastAsia="en-US"/>
              </w:rPr>
              <w:t>（4-12-01-01）</w:t>
            </w:r>
          </w:p>
        </w:tc>
        <w:tc>
          <w:tcPr>
            <w:tcW w:w="1701" w:type="dxa"/>
            <w:tcBorders>
              <w:top w:val="single" w:color="auto" w:sz="4" w:space="0"/>
              <w:left w:val="single" w:color="auto" w:sz="4" w:space="0"/>
              <w:bottom w:val="single" w:color="auto" w:sz="4" w:space="0"/>
            </w:tcBorders>
            <w:shd w:val="clear" w:color="auto" w:fill="FFFFFF"/>
            <w:vAlign w:val="center"/>
          </w:tcPr>
          <w:p>
            <w:pPr>
              <w:jc w:val="center"/>
              <w:rPr>
                <w:sz w:val="21"/>
                <w:szCs w:val="21"/>
              </w:rPr>
            </w:pPr>
            <w:r>
              <w:rPr>
                <w:rFonts w:hint="eastAsia"/>
                <w:sz w:val="21"/>
                <w:szCs w:val="21"/>
              </w:rPr>
              <w:t>新能源汽车维修工</w:t>
            </w:r>
          </w:p>
          <w:p>
            <w:pPr>
              <w:jc w:val="center"/>
              <w:rPr>
                <w:sz w:val="21"/>
                <w:szCs w:val="21"/>
              </w:rPr>
            </w:pPr>
            <w:r>
              <w:rPr>
                <w:rFonts w:hint="eastAsia"/>
                <w:sz w:val="21"/>
                <w:szCs w:val="21"/>
              </w:rPr>
              <w:t>、汽车电气维修工、汽车检测工</w:t>
            </w:r>
          </w:p>
        </w:tc>
        <w:tc>
          <w:tcPr>
            <w:tcW w:w="2551"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sz w:val="21"/>
                <w:szCs w:val="21"/>
              </w:rPr>
            </w:pPr>
            <w:r>
              <w:rPr>
                <w:rFonts w:hint="eastAsia"/>
                <w:sz w:val="21"/>
                <w:szCs w:val="21"/>
              </w:rPr>
              <w:t>汽车运用与维修技能等级证书、汽车运用与维修（含智能新能源汽车）“1+X”能力认证证书</w:t>
            </w:r>
          </w:p>
        </w:tc>
      </w:tr>
    </w:tbl>
    <w:p>
      <w:pPr>
        <w:jc w:val="center"/>
        <w:rPr>
          <w:sz w:val="21"/>
          <w:szCs w:val="21"/>
        </w:rPr>
      </w:pPr>
      <w:bookmarkStart w:id="28" w:name="_Toc15146"/>
      <w:bookmarkStart w:id="29" w:name="_Toc18468"/>
      <w:bookmarkStart w:id="30" w:name="_Toc7634"/>
      <w:r>
        <w:rPr>
          <w:rFonts w:hint="eastAsia"/>
          <w:sz w:val="21"/>
          <w:szCs w:val="21"/>
        </w:rPr>
        <w:t>表1  职业面向一览表</w:t>
      </w:r>
    </w:p>
    <w:p>
      <w:pPr>
        <w:pStyle w:val="3"/>
        <w:pageBreakBefore w:val="0"/>
        <w:widowControl w:val="0"/>
        <w:kinsoku/>
        <w:wordWrap/>
        <w:overflowPunct/>
        <w:topLinePunct w:val="0"/>
        <w:autoSpaceDE/>
        <w:autoSpaceDN/>
        <w:bidi w:val="0"/>
        <w:adjustRightInd/>
        <w:snapToGrid/>
        <w:spacing w:before="0" w:after="0" w:line="560" w:lineRule="exact"/>
        <w:ind w:firstLine="562" w:firstLineChars="200"/>
        <w:textAlignment w:val="auto"/>
        <w:rPr>
          <w:rFonts w:ascii="仿宋_GB2312" w:hAnsi="仿宋_GB2312" w:cs="仿宋_GB2312"/>
          <w:szCs w:val="28"/>
        </w:rPr>
      </w:pPr>
      <w:bookmarkStart w:id="31" w:name="_Toc8197"/>
      <w:r>
        <w:rPr>
          <w:rFonts w:hint="eastAsia" w:ascii="仿宋_GB2312" w:hAnsi="仿宋_GB2312" w:cs="仿宋_GB2312"/>
          <w:szCs w:val="28"/>
        </w:rPr>
        <w:t>（二</w:t>
      </w:r>
      <w:r>
        <w:rPr>
          <w:rFonts w:hint="eastAsia" w:ascii="仿宋_GB2312" w:hAnsi="仿宋_GB2312" w:cs="仿宋_GB2312"/>
          <w:szCs w:val="28"/>
          <w:lang w:val="zh-CN"/>
        </w:rPr>
        <w:t>）接</w:t>
      </w:r>
      <w:r>
        <w:rPr>
          <w:rFonts w:hint="eastAsia" w:ascii="仿宋_GB2312" w:hAnsi="仿宋_GB2312" w:cs="仿宋_GB2312"/>
          <w:szCs w:val="28"/>
        </w:rPr>
        <w:t>续专业</w:t>
      </w:r>
      <w:bookmarkEnd w:id="28"/>
      <w:bookmarkEnd w:id="29"/>
      <w:bookmarkEnd w:id="30"/>
      <w:bookmarkEnd w:id="31"/>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高职专科:汽车运用技术、汽车检测与维修、新能源汽车运用与维修</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本科:汽车服务工程</w:t>
      </w:r>
    </w:p>
    <w:p>
      <w:pPr>
        <w:pStyle w:val="2"/>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ascii="仿宋_GB2312" w:hAnsi="仿宋_GB2312" w:cs="仿宋_GB2312"/>
          <w:sz w:val="32"/>
          <w:szCs w:val="32"/>
        </w:rPr>
      </w:pPr>
      <w:bookmarkStart w:id="32" w:name="_Toc11425"/>
      <w:bookmarkStart w:id="33" w:name="_Toc16685"/>
      <w:bookmarkStart w:id="34" w:name="_Toc28515"/>
      <w:bookmarkStart w:id="35" w:name="_Toc20758"/>
      <w:r>
        <w:rPr>
          <w:rFonts w:hint="eastAsia" w:ascii="仿宋_GB2312" w:hAnsi="仿宋_GB2312" w:cs="仿宋_GB2312"/>
          <w:sz w:val="32"/>
          <w:szCs w:val="32"/>
        </w:rPr>
        <w:t>五、培养目标与培养规格</w:t>
      </w:r>
      <w:bookmarkEnd w:id="32"/>
      <w:bookmarkEnd w:id="33"/>
      <w:bookmarkEnd w:id="34"/>
      <w:bookmarkEnd w:id="35"/>
    </w:p>
    <w:p>
      <w:pPr>
        <w:pStyle w:val="3"/>
        <w:pageBreakBefore w:val="0"/>
        <w:widowControl w:val="0"/>
        <w:kinsoku/>
        <w:wordWrap/>
        <w:overflowPunct/>
        <w:topLinePunct w:val="0"/>
        <w:autoSpaceDE/>
        <w:autoSpaceDN/>
        <w:bidi w:val="0"/>
        <w:adjustRightInd/>
        <w:snapToGrid/>
        <w:spacing w:before="0" w:after="0" w:line="560" w:lineRule="exact"/>
        <w:ind w:firstLine="562" w:firstLineChars="200"/>
        <w:textAlignment w:val="auto"/>
        <w:rPr>
          <w:rFonts w:ascii="仿宋_GB2312" w:hAnsi="仿宋_GB2312" w:cs="仿宋_GB2312"/>
          <w:szCs w:val="28"/>
        </w:rPr>
      </w:pPr>
      <w:bookmarkStart w:id="36" w:name="_Toc17650"/>
      <w:bookmarkStart w:id="37" w:name="_Toc29424"/>
      <w:bookmarkStart w:id="38" w:name="_Toc22839"/>
      <w:bookmarkStart w:id="39" w:name="_Toc25684"/>
      <w:r>
        <w:rPr>
          <w:rFonts w:hint="eastAsia" w:ascii="仿宋_GB2312" w:hAnsi="仿宋_GB2312" w:cs="仿宋_GB2312"/>
          <w:szCs w:val="28"/>
        </w:rPr>
        <w:t>（一）培养目标</w:t>
      </w:r>
      <w:bookmarkEnd w:id="36"/>
      <w:bookmarkEnd w:id="37"/>
      <w:bookmarkEnd w:id="38"/>
      <w:bookmarkEnd w:id="39"/>
    </w:p>
    <w:p>
      <w:pPr>
        <w:pageBreakBefore w:val="0"/>
        <w:widowControl w:val="0"/>
        <w:kinsoku/>
        <w:wordWrap/>
        <w:overflowPunct/>
        <w:topLinePunct w:val="0"/>
        <w:autoSpaceDE/>
        <w:autoSpaceDN/>
        <w:bidi w:val="0"/>
        <w:adjustRightInd/>
        <w:snapToGrid/>
        <w:spacing w:line="560" w:lineRule="exact"/>
        <w:ind w:firstLine="560" w:firstLineChars="200"/>
        <w:textAlignment w:val="auto"/>
        <w:rPr>
          <w:sz w:val="28"/>
          <w:szCs w:val="28"/>
        </w:rPr>
      </w:pPr>
      <w:r>
        <w:rPr>
          <w:rFonts w:hint="eastAsia"/>
          <w:sz w:val="28"/>
          <w:szCs w:val="28"/>
        </w:rPr>
        <w:t>本专业坚持课程思政的理念，落实立德树人的根本任务，面向新能源汽车运用与维修等行业企业，培养从事汽车使用、维护、修理、检测、装配、维修接待等工作，具备良好的职业道德与职业素养素质，掌握新汽车运用与维修专业必备的专业基础理论知识，具备汽车使用、维护、修理、检测、维修接待能力，德智体美劳全面发展的高素质劳动者和技术技能型人才。</w:t>
      </w:r>
    </w:p>
    <w:p>
      <w:pPr>
        <w:pStyle w:val="3"/>
        <w:pageBreakBefore w:val="0"/>
        <w:widowControl w:val="0"/>
        <w:kinsoku/>
        <w:wordWrap/>
        <w:overflowPunct/>
        <w:topLinePunct w:val="0"/>
        <w:autoSpaceDE/>
        <w:autoSpaceDN/>
        <w:bidi w:val="0"/>
        <w:adjustRightInd/>
        <w:snapToGrid/>
        <w:spacing w:before="0" w:after="0" w:line="560" w:lineRule="exact"/>
        <w:ind w:firstLine="562" w:firstLineChars="200"/>
        <w:textAlignment w:val="auto"/>
        <w:rPr>
          <w:rFonts w:ascii="仿宋_GB2312" w:hAnsi="仿宋_GB2312" w:cs="仿宋_GB2312"/>
          <w:szCs w:val="28"/>
        </w:rPr>
      </w:pPr>
      <w:bookmarkStart w:id="40" w:name="_Toc29376"/>
      <w:bookmarkStart w:id="41" w:name="_Toc25442"/>
      <w:bookmarkStart w:id="42" w:name="_Toc23143"/>
      <w:bookmarkStart w:id="43" w:name="_Toc18256"/>
      <w:r>
        <w:rPr>
          <w:rFonts w:hint="eastAsia" w:ascii="仿宋_GB2312" w:hAnsi="仿宋_GB2312" w:cs="仿宋_GB2312"/>
          <w:szCs w:val="28"/>
        </w:rPr>
        <w:t>（二）培养规格</w:t>
      </w:r>
      <w:bookmarkEnd w:id="40"/>
      <w:bookmarkEnd w:id="41"/>
      <w:bookmarkEnd w:id="42"/>
      <w:bookmarkEnd w:id="43"/>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本专业毕业生应该具有以下素质、知识和能力：</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bookmarkStart w:id="44" w:name="_Toc1032"/>
      <w:r>
        <w:rPr>
          <w:rFonts w:hint="eastAsia" w:ascii="仿宋_GB2312" w:hAnsi="仿宋_GB2312" w:cs="仿宋_GB2312"/>
          <w:sz w:val="28"/>
          <w:szCs w:val="28"/>
        </w:rPr>
        <w:t>1.素质</w:t>
      </w:r>
      <w:bookmarkEnd w:id="44"/>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（1）具有坚定的政治方向、良好的思想品德素质和健全的人格,热爱祖国、热爱人民、拥护中国共产党的领导,具有国家意识、法</w:t>
      </w:r>
      <w:r>
        <w:rPr>
          <w:rFonts w:hint="eastAsia" w:ascii="仿宋_GB2312" w:hAnsi="仿宋_GB2312" w:cs="仿宋_GB2312"/>
          <w:sz w:val="28"/>
          <w:szCs w:val="28"/>
          <w:lang w:val="en-US" w:eastAsia="zh-CN"/>
        </w:rPr>
        <w:t>治</w:t>
      </w:r>
      <w:bookmarkStart w:id="125" w:name="_GoBack"/>
      <w:bookmarkEnd w:id="125"/>
      <w:r>
        <w:rPr>
          <w:rFonts w:hint="eastAsia" w:ascii="仿宋_GB2312" w:hAnsi="仿宋_GB2312" w:cs="仿宋_GB2312"/>
          <w:sz w:val="28"/>
          <w:szCs w:val="28"/>
        </w:rPr>
        <w:t>意识和社会责任意识，树立正确的世界观、人生观、价值观。</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（2）具有良好的人际交往与团队协作能力。</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（3）具有能吃苦耐劳，责任感强，执行力强的工作品质。</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（4）具有较强地获取信息、分析判断和学习新知识的能力。</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（5）具有良好的职业道德,能自觉遵守行业法规、规范和企业规章制度。</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（6）具有较强的安全文明生产与节能环保意识，积极的职业竞争和服务意识。</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bookmarkStart w:id="45" w:name="_Toc9291"/>
      <w:r>
        <w:rPr>
          <w:rFonts w:hint="eastAsia" w:ascii="仿宋_GB2312" w:hAnsi="仿宋_GB2312" w:cs="仿宋_GB2312"/>
          <w:sz w:val="28"/>
          <w:szCs w:val="28"/>
        </w:rPr>
        <w:t>2.知识</w:t>
      </w:r>
      <w:bookmarkEnd w:id="45"/>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（1）掌握新能源汽车“三电系统”、发动机、底盘、车身电气、空调的结构和工作原理。</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（2）掌握新能源汽车机械基础、新能源汽车电工电子等基础知识。</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（3）能阅读简单的汽车维修设备使用说明书和汽车维修技术资料。</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（4）能识读汽车电路图，并能进行简单的电器零部件检测作业。</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（5）能正确使用汽车维修常用工具、量具及检测仪器设备。</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（6）能完成新能源汽车维护作业。</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（7）能完成新能源汽车“三电系统”、充电系统、发动机、变速器总成大修及部件检修，汽车制动系统、悬架转向系统总成及部件检修。</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（8）能完成汽车车身电器系统、空调系统总成及部件检修。</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（9）能完成汽车发动机电控系统检修。</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（10）能完成新能源汽车电池、电机、电机控制系统等高压系统的检修。</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（11）能完成新能源汽车车身及辅助电气系统的检修。</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（12）能完成新能源汽车整车综合性能检测与故障修复。</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（13）能根据不同类型充电桩的结构及环境要求，并结合实际情况给出合理的安置建议</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（14）能完成新能源汽车充电系统的检修并根据不同的充电需求选配充电桩的型号。</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（15）能够对充电设备/站进行安装、调试与检修。</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（16）能向客户合理表达用车建议，具有沟能协调合作能力。</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bookmarkStart w:id="46" w:name="_Toc27134"/>
      <w:r>
        <w:rPr>
          <w:rFonts w:hint="eastAsia" w:ascii="仿宋_GB2312" w:hAnsi="仿宋_GB2312" w:cs="仿宋_GB2312"/>
          <w:sz w:val="28"/>
          <w:szCs w:val="28"/>
        </w:rPr>
        <w:t>3.能力</w:t>
      </w:r>
      <w:bookmarkEnd w:id="46"/>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方向1——新能源汽车运用与维修</w:t>
      </w:r>
    </w:p>
    <w:p>
      <w:pPr>
        <w:pStyle w:val="21"/>
        <w:pageBreakBefore w:val="0"/>
        <w:widowControl w:val="0"/>
        <w:numPr>
          <w:ilvl w:val="0"/>
          <w:numId w:val="1"/>
        </w:numPr>
        <w:kinsoku/>
        <w:wordWrap/>
        <w:overflowPunct/>
        <w:topLinePunct w:val="0"/>
        <w:autoSpaceDE/>
        <w:autoSpaceDN/>
        <w:bidi w:val="0"/>
        <w:adjustRightInd/>
        <w:snapToGrid/>
        <w:spacing w:line="560" w:lineRule="exact"/>
        <w:ind w:firstLineChars="0"/>
        <w:textAlignment w:val="auto"/>
        <w:rPr>
          <w:rFonts w:ascii="仿宋_GB2312" w:hAnsi="仿宋_GB2312" w:cs="仿宋_GB2312"/>
          <w:sz w:val="28"/>
          <w:szCs w:val="28"/>
        </w:rPr>
      </w:pPr>
      <w:r>
        <w:rPr>
          <w:rFonts w:hint="eastAsia" w:ascii="仿宋_GB2312" w:hAnsi="仿宋_GB2312" w:cs="仿宋_GB2312"/>
          <w:sz w:val="28"/>
          <w:szCs w:val="28"/>
        </w:rPr>
        <w:t>能运用新能源汽车三电系统、发动机、底盘、电气和维修手册的相关知识，实施新能源汽车定期维护，总成检修。</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（2）能运用汽车电路图知识,进行实车线路查找。</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（3）能运用“三电系统”知识和维修手册知识,完成电机、动力电池、电机控制系统的保养与维修。</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（4）能运用新能源汽车故障诊断方法，排除新能源汽车低压系统故障。</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（5）能运用新能源汽车故障诊断方法，排除新能源汽车高压系统故障。</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（6）能运用新能源汽车故障诊断方法，排除新能源汽车整车故障。</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（7）能运用新能源汽车故障诊断方法，排除新能源汽车充电系统故障。</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ascii="仿宋_GB2312" w:hAnsi="仿宋_GB2312" w:cs="仿宋_GB2312"/>
          <w:sz w:val="28"/>
          <w:szCs w:val="28"/>
        </w:rPr>
        <w:t>（</w:t>
      </w:r>
      <w:r>
        <w:rPr>
          <w:rFonts w:hint="eastAsia" w:ascii="仿宋_GB2312" w:hAnsi="仿宋_GB2312" w:cs="仿宋_GB2312"/>
          <w:sz w:val="28"/>
          <w:szCs w:val="28"/>
        </w:rPr>
        <w:t>8</w:t>
      </w:r>
      <w:r>
        <w:rPr>
          <w:rFonts w:ascii="仿宋_GB2312" w:hAnsi="仿宋_GB2312" w:cs="仿宋_GB2312"/>
          <w:sz w:val="28"/>
          <w:szCs w:val="28"/>
        </w:rPr>
        <w:t>）能具备快速更换动力电池、按装充电桩的能力。</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方向2——高考升学方向</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shd w:val="clear" w:color="auto" w:fill="FFFFFF"/>
        </w:rPr>
      </w:pPr>
      <w:r>
        <w:rPr>
          <w:rFonts w:hint="eastAsia" w:ascii="仿宋_GB2312" w:hAnsi="仿宋_GB2312" w:cs="仿宋_GB2312"/>
          <w:sz w:val="28"/>
          <w:szCs w:val="28"/>
          <w:shd w:val="clear" w:color="auto" w:fill="FFFFFF"/>
        </w:rPr>
        <w:t>（1）掌握《重庆市高等职业教育分类考试汽车类专业考试大纲》要求的各项专业综合理论知识。</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shd w:val="clear" w:color="auto" w:fill="FFFFFF"/>
        </w:rPr>
        <w:t>（2）具备按照《重庆市高等职业教育分类考试汽车类专业技能测试考试说明》的要求进行技能操作的能力。</w:t>
      </w:r>
    </w:p>
    <w:p>
      <w:pPr>
        <w:pStyle w:val="2"/>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ascii="仿宋_GB2312" w:hAnsi="仿宋_GB2312" w:cs="仿宋_GB2312"/>
          <w:sz w:val="32"/>
          <w:szCs w:val="32"/>
        </w:rPr>
      </w:pPr>
      <w:bookmarkStart w:id="47" w:name="bookmark51"/>
      <w:bookmarkStart w:id="48" w:name="bookmark50"/>
      <w:bookmarkStart w:id="49" w:name="_Toc27554"/>
      <w:bookmarkStart w:id="50" w:name="_Toc16280"/>
      <w:bookmarkStart w:id="51" w:name="_Toc27128"/>
      <w:bookmarkStart w:id="52" w:name="bookmark52"/>
      <w:bookmarkStart w:id="53" w:name="bookmark49"/>
      <w:bookmarkStart w:id="54" w:name="_Toc12514"/>
      <w:r>
        <w:rPr>
          <w:rFonts w:hint="eastAsia" w:ascii="仿宋_GB2312" w:hAnsi="仿宋_GB2312" w:cs="仿宋_GB2312"/>
          <w:sz w:val="32"/>
          <w:szCs w:val="32"/>
        </w:rPr>
        <w:t>六</w:t>
      </w:r>
      <w:bookmarkEnd w:id="47"/>
      <w:r>
        <w:rPr>
          <w:rFonts w:hint="eastAsia" w:ascii="仿宋_GB2312" w:hAnsi="仿宋_GB2312" w:cs="仿宋_GB2312"/>
          <w:sz w:val="32"/>
          <w:szCs w:val="32"/>
        </w:rPr>
        <w:t>、课程设置及要求</w:t>
      </w:r>
      <w:bookmarkEnd w:id="48"/>
      <w:bookmarkEnd w:id="49"/>
      <w:bookmarkEnd w:id="50"/>
      <w:bookmarkEnd w:id="51"/>
      <w:bookmarkEnd w:id="52"/>
      <w:bookmarkEnd w:id="53"/>
      <w:bookmarkEnd w:id="54"/>
    </w:p>
    <w:p>
      <w:pPr>
        <w:pStyle w:val="3"/>
        <w:pageBreakBefore w:val="0"/>
        <w:widowControl w:val="0"/>
        <w:kinsoku/>
        <w:wordWrap/>
        <w:overflowPunct/>
        <w:topLinePunct w:val="0"/>
        <w:autoSpaceDE/>
        <w:autoSpaceDN/>
        <w:bidi w:val="0"/>
        <w:adjustRightInd/>
        <w:snapToGrid/>
        <w:spacing w:before="0" w:after="0" w:line="560" w:lineRule="exact"/>
        <w:ind w:firstLine="562" w:firstLineChars="200"/>
        <w:textAlignment w:val="auto"/>
        <w:rPr>
          <w:rFonts w:ascii="仿宋_GB2312" w:hAnsi="仿宋_GB2312" w:cs="仿宋_GB2312"/>
          <w:szCs w:val="28"/>
        </w:rPr>
      </w:pPr>
      <w:bookmarkStart w:id="55" w:name="_Toc8617"/>
      <w:bookmarkStart w:id="56" w:name="_Toc13498"/>
      <w:bookmarkStart w:id="57" w:name="_Toc1477"/>
      <w:bookmarkStart w:id="58" w:name="_Toc23536"/>
      <w:r>
        <w:rPr>
          <w:rFonts w:hint="eastAsia" w:ascii="仿宋_GB2312" w:hAnsi="仿宋_GB2312" w:cs="仿宋_GB2312"/>
          <w:szCs w:val="28"/>
        </w:rPr>
        <w:t>（一）</w:t>
      </w:r>
      <w:r>
        <w:rPr>
          <w:rFonts w:hint="eastAsia" w:ascii="仿宋_GB2312" w:hAnsi="仿宋_GB2312" w:cs="仿宋_GB2312"/>
          <w:szCs w:val="28"/>
          <w:lang w:val="zh-CN"/>
        </w:rPr>
        <w:t>课</w:t>
      </w:r>
      <w:r>
        <w:rPr>
          <w:rFonts w:hint="eastAsia" w:ascii="仿宋_GB2312" w:hAnsi="仿宋_GB2312" w:cs="仿宋_GB2312"/>
          <w:szCs w:val="28"/>
        </w:rPr>
        <w:t>程结构</w:t>
      </w:r>
      <w:bookmarkEnd w:id="55"/>
      <w:bookmarkEnd w:id="56"/>
      <w:bookmarkEnd w:id="57"/>
      <w:bookmarkEnd w:id="58"/>
    </w:p>
    <w:p/>
    <w:p>
      <w:pPr>
        <w:jc w:val="center"/>
        <w:rPr>
          <w:rFonts w:hint="eastAsia" w:ascii="仿宋_GB2312" w:hAnsi="仿宋_GB2312" w:cs="仿宋_GB2312"/>
          <w:sz w:val="28"/>
          <w:szCs w:val="28"/>
        </w:rPr>
      </w:pPr>
      <w:bookmarkStart w:id="59" w:name="_MON_1685974293"/>
      <w:bookmarkEnd w:id="59"/>
      <w:r>
        <w:rPr>
          <w:rFonts w:hint="eastAsia" w:ascii="仿宋_GB2312" w:hAnsi="仿宋_GB2312" w:cs="仿宋_GB2312"/>
          <w:sz w:val="28"/>
          <w:szCs w:val="28"/>
        </w:rPr>
        <w:object>
          <v:shape id="_x0000_i1025" o:spt="75" type="#_x0000_t75" style="height:646pt;width:447.6pt;" o:ole="t" filled="f" o:preferrelative="t" stroked="f" coordsize="21600,21600">
            <v:path/>
            <v:fill on="f" focussize="0,0"/>
            <v:stroke on="f"/>
            <v:imagedata r:id="rId8" o:title=""/>
            <o:lock v:ext="edit" aspectratio="t"/>
            <w10:wrap type="none"/>
            <w10:anchorlock/>
          </v:shape>
          <o:OLEObject Type="Embed" ProgID="Excel.Sheet.8" ShapeID="_x0000_i1025" DrawAspect="Content" ObjectID="_1468075725" r:id="rId7">
            <o:LockedField>false</o:LockedField>
          </o:OLEObject>
        </w:object>
      </w:r>
    </w:p>
    <w:p>
      <w:pPr>
        <w:jc w:val="center"/>
        <w:rPr>
          <w:rFonts w:ascii="仿宋_GB2312" w:hAnsi="仿宋_GB2312" w:cs="仿宋_GB2312"/>
          <w:sz w:val="21"/>
          <w:szCs w:val="21"/>
        </w:rPr>
      </w:pPr>
      <w:r>
        <w:rPr>
          <w:rFonts w:hint="eastAsia" w:ascii="仿宋_GB2312" w:hAnsi="仿宋_GB2312" w:cs="仿宋_GB2312"/>
          <w:sz w:val="21"/>
          <w:szCs w:val="21"/>
        </w:rPr>
        <w:t>表2  课程结构框架图</w:t>
      </w:r>
    </w:p>
    <w:p>
      <w:pPr>
        <w:pStyle w:val="3"/>
        <w:pageBreakBefore w:val="0"/>
        <w:widowControl w:val="0"/>
        <w:kinsoku/>
        <w:wordWrap/>
        <w:overflowPunct/>
        <w:topLinePunct w:val="0"/>
        <w:autoSpaceDE/>
        <w:autoSpaceDN/>
        <w:bidi w:val="0"/>
        <w:adjustRightInd/>
        <w:snapToGrid/>
        <w:spacing w:before="0" w:after="0" w:line="560" w:lineRule="exact"/>
        <w:ind w:firstLine="562" w:firstLineChars="200"/>
        <w:textAlignment w:val="auto"/>
        <w:rPr>
          <w:rFonts w:ascii="仿宋_GB2312" w:hAnsi="仿宋_GB2312" w:cs="仿宋_GB2312"/>
          <w:szCs w:val="28"/>
        </w:rPr>
      </w:pPr>
      <w:bookmarkStart w:id="60" w:name="_Toc514"/>
      <w:bookmarkStart w:id="61" w:name="_Toc8966"/>
      <w:bookmarkStart w:id="62" w:name="_Toc18857"/>
      <w:bookmarkStart w:id="63" w:name="_Toc1228"/>
      <w:r>
        <w:rPr>
          <w:rFonts w:hint="eastAsia" w:ascii="仿宋_GB2312" w:hAnsi="仿宋_GB2312" w:cs="仿宋_GB2312"/>
          <w:szCs w:val="28"/>
        </w:rPr>
        <w:t>（二）课程设置及要求</w:t>
      </w:r>
      <w:bookmarkEnd w:id="60"/>
      <w:bookmarkEnd w:id="61"/>
      <w:bookmarkEnd w:id="62"/>
      <w:bookmarkEnd w:id="63"/>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本专业的课程设置分为公共基础课程和专业技能课程。公共基础课包括必修课和选修课。专业技能课包括专业核心课、专业技能方向课、专业选修课和专业实习。</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bookmarkStart w:id="64" w:name="_Toc24241"/>
      <w:r>
        <w:rPr>
          <w:rFonts w:hint="eastAsia" w:ascii="仿宋_GB2312" w:hAnsi="仿宋_GB2312" w:cs="仿宋_GB2312"/>
          <w:sz w:val="28"/>
          <w:szCs w:val="28"/>
        </w:rPr>
        <w:t>1.公共基础课程</w:t>
      </w:r>
      <w:bookmarkEnd w:id="64"/>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（1）必修课</w:t>
      </w:r>
    </w:p>
    <w:tbl>
      <w:tblPr>
        <w:tblStyle w:val="17"/>
        <w:tblW w:w="9606" w:type="dxa"/>
        <w:jc w:val="center"/>
        <w:tblLayout w:type="fixed"/>
        <w:tblCellMar>
          <w:top w:w="0" w:type="dxa"/>
          <w:left w:w="108" w:type="dxa"/>
          <w:bottom w:w="0" w:type="dxa"/>
          <w:right w:w="108" w:type="dxa"/>
        </w:tblCellMar>
      </w:tblPr>
      <w:tblGrid>
        <w:gridCol w:w="748"/>
        <w:gridCol w:w="1275"/>
        <w:gridCol w:w="6492"/>
        <w:gridCol w:w="1091"/>
      </w:tblGrid>
      <w:tr>
        <w:tblPrEx>
          <w:tblCellMar>
            <w:top w:w="0" w:type="dxa"/>
            <w:left w:w="108" w:type="dxa"/>
            <w:bottom w:w="0" w:type="dxa"/>
            <w:right w:w="108" w:type="dxa"/>
          </w:tblCellMar>
        </w:tblPrEx>
        <w:trPr>
          <w:trHeight w:val="458" w:hRule="atLeast"/>
          <w:jc w:val="center"/>
        </w:trPr>
        <w:tc>
          <w:tcPr>
            <w:tcW w:w="74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cs="仿宋_GB2312"/>
                <w:sz w:val="21"/>
                <w:szCs w:val="21"/>
              </w:rPr>
            </w:pPr>
            <w:r>
              <w:rPr>
                <w:rFonts w:hint="eastAsia" w:ascii="仿宋_GB2312" w:hAnsi="仿宋_GB2312" w:cs="仿宋_GB2312"/>
                <w:sz w:val="21"/>
                <w:szCs w:val="21"/>
              </w:rPr>
              <w:t>序号</w:t>
            </w:r>
          </w:p>
        </w:tc>
        <w:tc>
          <w:tcPr>
            <w:tcW w:w="1275" w:type="dxa"/>
            <w:tcBorders>
              <w:top w:val="single" w:color="auto" w:sz="4" w:space="0"/>
              <w:left w:val="nil"/>
              <w:bottom w:val="single" w:color="auto" w:sz="4" w:space="0"/>
              <w:right w:val="single" w:color="auto" w:sz="4" w:space="0"/>
            </w:tcBorders>
            <w:vAlign w:val="center"/>
          </w:tcPr>
          <w:p>
            <w:pPr>
              <w:jc w:val="center"/>
              <w:rPr>
                <w:rFonts w:ascii="仿宋_GB2312" w:hAnsi="仿宋_GB2312" w:cs="仿宋_GB2312"/>
                <w:sz w:val="21"/>
                <w:szCs w:val="21"/>
              </w:rPr>
            </w:pPr>
            <w:r>
              <w:rPr>
                <w:rFonts w:hint="eastAsia" w:ascii="仿宋_GB2312" w:hAnsi="仿宋_GB2312" w:cs="仿宋_GB2312"/>
                <w:sz w:val="21"/>
                <w:szCs w:val="21"/>
              </w:rPr>
              <w:t>课程名称</w:t>
            </w:r>
          </w:p>
        </w:tc>
        <w:tc>
          <w:tcPr>
            <w:tcW w:w="6492" w:type="dxa"/>
            <w:tcBorders>
              <w:top w:val="single" w:color="auto" w:sz="4" w:space="0"/>
              <w:left w:val="nil"/>
              <w:bottom w:val="single" w:color="auto" w:sz="4" w:space="0"/>
              <w:right w:val="single" w:color="auto" w:sz="4" w:space="0"/>
            </w:tcBorders>
            <w:vAlign w:val="center"/>
          </w:tcPr>
          <w:p>
            <w:pPr>
              <w:jc w:val="center"/>
              <w:rPr>
                <w:rFonts w:ascii="仿宋_GB2312" w:hAnsi="仿宋_GB2312" w:cs="仿宋_GB2312"/>
                <w:sz w:val="21"/>
                <w:szCs w:val="21"/>
              </w:rPr>
            </w:pPr>
            <w:r>
              <w:rPr>
                <w:rFonts w:hint="eastAsia" w:ascii="仿宋_GB2312" w:hAnsi="仿宋_GB2312" w:cs="仿宋_GB2312"/>
                <w:sz w:val="21"/>
                <w:szCs w:val="21"/>
              </w:rPr>
              <w:t>教学内容和要求</w:t>
            </w:r>
          </w:p>
        </w:tc>
        <w:tc>
          <w:tcPr>
            <w:tcW w:w="1091" w:type="dxa"/>
            <w:tcBorders>
              <w:top w:val="single" w:color="auto" w:sz="4" w:space="0"/>
              <w:left w:val="nil"/>
              <w:bottom w:val="single" w:color="auto" w:sz="4" w:space="0"/>
              <w:right w:val="single" w:color="auto" w:sz="4" w:space="0"/>
            </w:tcBorders>
            <w:vAlign w:val="center"/>
          </w:tcPr>
          <w:p>
            <w:pPr>
              <w:jc w:val="center"/>
              <w:rPr>
                <w:rFonts w:ascii="仿宋_GB2312" w:hAnsi="仿宋_GB2312" w:cs="仿宋_GB2312"/>
                <w:sz w:val="21"/>
                <w:szCs w:val="21"/>
              </w:rPr>
            </w:pPr>
            <w:r>
              <w:rPr>
                <w:rFonts w:hint="eastAsia" w:ascii="仿宋_GB2312" w:hAnsi="仿宋_GB2312" w:cs="仿宋_GB2312"/>
                <w:sz w:val="21"/>
                <w:szCs w:val="21"/>
              </w:rPr>
              <w:t>参考课时</w:t>
            </w:r>
          </w:p>
        </w:tc>
      </w:tr>
      <w:tr>
        <w:tblPrEx>
          <w:tblCellMar>
            <w:top w:w="0" w:type="dxa"/>
            <w:left w:w="108" w:type="dxa"/>
            <w:bottom w:w="0" w:type="dxa"/>
            <w:right w:w="108" w:type="dxa"/>
          </w:tblCellMar>
        </w:tblPrEx>
        <w:trPr>
          <w:trHeight w:val="90" w:hRule="atLeast"/>
          <w:jc w:val="center"/>
        </w:trPr>
        <w:tc>
          <w:tcPr>
            <w:tcW w:w="74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cs="仿宋_GB2312"/>
                <w:sz w:val="21"/>
                <w:szCs w:val="21"/>
              </w:rPr>
            </w:pPr>
            <w:r>
              <w:rPr>
                <w:rFonts w:hint="eastAsia" w:ascii="仿宋_GB2312" w:hAnsi="仿宋_GB2312" w:cs="仿宋_GB2312"/>
                <w:sz w:val="21"/>
                <w:szCs w:val="21"/>
              </w:rPr>
              <w:t>1</w:t>
            </w:r>
          </w:p>
        </w:tc>
        <w:tc>
          <w:tcPr>
            <w:tcW w:w="1275" w:type="dxa"/>
            <w:tcBorders>
              <w:top w:val="single" w:color="auto" w:sz="4" w:space="0"/>
              <w:left w:val="nil"/>
              <w:bottom w:val="single" w:color="auto" w:sz="4" w:space="0"/>
              <w:right w:val="single" w:color="auto" w:sz="4" w:space="0"/>
            </w:tcBorders>
            <w:vAlign w:val="center"/>
          </w:tcPr>
          <w:p>
            <w:pPr>
              <w:jc w:val="center"/>
              <w:rPr>
                <w:rFonts w:ascii="仿宋_GB2312" w:hAnsi="仿宋_GB2312" w:cs="仿宋_GB2312"/>
                <w:sz w:val="21"/>
                <w:szCs w:val="21"/>
              </w:rPr>
            </w:pPr>
            <w:r>
              <w:rPr>
                <w:rFonts w:hint="eastAsia" w:ascii="仿宋_GB2312" w:hAnsi="仿宋_GB2312" w:cs="仿宋_GB2312"/>
                <w:sz w:val="21"/>
                <w:szCs w:val="21"/>
              </w:rPr>
              <w:t>思想政治</w:t>
            </w:r>
          </w:p>
        </w:tc>
        <w:tc>
          <w:tcPr>
            <w:tcW w:w="6492" w:type="dxa"/>
            <w:tcBorders>
              <w:top w:val="single" w:color="auto" w:sz="4" w:space="0"/>
              <w:left w:val="nil"/>
              <w:bottom w:val="single" w:color="auto" w:sz="4" w:space="0"/>
              <w:right w:val="single" w:color="auto" w:sz="4" w:space="0"/>
            </w:tcBorders>
            <w:vAlign w:val="center"/>
          </w:tcPr>
          <w:p>
            <w:pPr>
              <w:jc w:val="left"/>
              <w:rPr>
                <w:rFonts w:ascii="仿宋_GB2312" w:hAnsi="仿宋_GB2312" w:cs="仿宋_GB2312"/>
                <w:sz w:val="21"/>
                <w:szCs w:val="21"/>
              </w:rPr>
            </w:pPr>
            <w:r>
              <w:rPr>
                <w:rFonts w:hint="eastAsia" w:ascii="仿宋_GB2312" w:hAnsi="仿宋_GB2312" w:cs="仿宋_GB2312"/>
                <w:sz w:val="21"/>
                <w:szCs w:val="21"/>
              </w:rPr>
              <w:t>依据《中等职业学校思想政治课程标准-（2020年版）》开设，并与学生专业能力发展和职业岗位需求密切结合。包括中国特色社会主义、心理健康与职业生涯、职业道德与法治、哲学与人生四个必修模块。</w:t>
            </w:r>
          </w:p>
        </w:tc>
        <w:tc>
          <w:tcPr>
            <w:tcW w:w="1091" w:type="dxa"/>
            <w:tcBorders>
              <w:top w:val="single" w:color="auto" w:sz="4" w:space="0"/>
              <w:left w:val="nil"/>
              <w:bottom w:val="single" w:color="auto" w:sz="4" w:space="0"/>
              <w:right w:val="single" w:color="auto" w:sz="4" w:space="0"/>
            </w:tcBorders>
            <w:vAlign w:val="center"/>
          </w:tcPr>
          <w:p>
            <w:pPr>
              <w:jc w:val="center"/>
              <w:rPr>
                <w:rFonts w:ascii="仿宋_GB2312" w:hAnsi="仿宋_GB2312" w:cs="仿宋_GB2312"/>
                <w:sz w:val="21"/>
                <w:szCs w:val="21"/>
              </w:rPr>
            </w:pPr>
            <w:r>
              <w:rPr>
                <w:rFonts w:hint="eastAsia" w:ascii="仿宋_GB2312" w:hAnsi="仿宋_GB2312" w:cs="仿宋_GB2312"/>
                <w:sz w:val="21"/>
                <w:szCs w:val="21"/>
              </w:rPr>
              <w:t>144</w:t>
            </w:r>
          </w:p>
        </w:tc>
      </w:tr>
      <w:tr>
        <w:tblPrEx>
          <w:tblCellMar>
            <w:top w:w="0" w:type="dxa"/>
            <w:left w:w="108" w:type="dxa"/>
            <w:bottom w:w="0" w:type="dxa"/>
            <w:right w:w="108" w:type="dxa"/>
          </w:tblCellMar>
        </w:tblPrEx>
        <w:trPr>
          <w:jc w:val="center"/>
        </w:trPr>
        <w:tc>
          <w:tcPr>
            <w:tcW w:w="74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cs="仿宋_GB2312"/>
                <w:sz w:val="21"/>
                <w:szCs w:val="21"/>
              </w:rPr>
            </w:pPr>
            <w:r>
              <w:rPr>
                <w:rFonts w:hint="eastAsia" w:ascii="仿宋_GB2312" w:hAnsi="仿宋_GB2312" w:cs="仿宋_GB2312"/>
                <w:sz w:val="21"/>
                <w:szCs w:val="21"/>
              </w:rPr>
              <w:t>2</w:t>
            </w:r>
          </w:p>
        </w:tc>
        <w:tc>
          <w:tcPr>
            <w:tcW w:w="1275" w:type="dxa"/>
            <w:tcBorders>
              <w:top w:val="single" w:color="auto" w:sz="4" w:space="0"/>
              <w:left w:val="nil"/>
              <w:bottom w:val="single" w:color="auto" w:sz="4" w:space="0"/>
              <w:right w:val="single" w:color="auto" w:sz="4" w:space="0"/>
            </w:tcBorders>
            <w:vAlign w:val="center"/>
          </w:tcPr>
          <w:p>
            <w:pPr>
              <w:jc w:val="center"/>
              <w:rPr>
                <w:rFonts w:ascii="仿宋_GB2312" w:hAnsi="仿宋_GB2312" w:cs="仿宋_GB2312"/>
                <w:sz w:val="21"/>
                <w:szCs w:val="21"/>
              </w:rPr>
            </w:pPr>
            <w:r>
              <w:rPr>
                <w:rFonts w:hint="eastAsia" w:ascii="仿宋_GB2312" w:hAnsi="仿宋_GB2312" w:cs="仿宋_GB2312"/>
                <w:sz w:val="21"/>
                <w:szCs w:val="21"/>
              </w:rPr>
              <w:t>语文</w:t>
            </w:r>
          </w:p>
        </w:tc>
        <w:tc>
          <w:tcPr>
            <w:tcW w:w="6492" w:type="dxa"/>
            <w:tcBorders>
              <w:top w:val="single" w:color="auto" w:sz="4" w:space="0"/>
              <w:left w:val="nil"/>
              <w:bottom w:val="single" w:color="auto" w:sz="4" w:space="0"/>
              <w:right w:val="single" w:color="auto" w:sz="4" w:space="0"/>
            </w:tcBorders>
            <w:vAlign w:val="center"/>
          </w:tcPr>
          <w:p>
            <w:pPr>
              <w:jc w:val="left"/>
              <w:rPr>
                <w:rFonts w:ascii="仿宋_GB2312" w:hAnsi="仿宋_GB2312" w:cs="仿宋_GB2312"/>
                <w:sz w:val="21"/>
                <w:szCs w:val="21"/>
              </w:rPr>
            </w:pPr>
            <w:r>
              <w:rPr>
                <w:rFonts w:hint="eastAsia" w:ascii="仿宋_GB2312" w:hAnsi="仿宋_GB2312" w:cs="仿宋_GB2312"/>
                <w:sz w:val="21"/>
                <w:szCs w:val="21"/>
              </w:rPr>
              <w:t>依据《中等职业学校语文课程标准-（2020年版）》开设，并注重在职业模块的教学内容中体现专业特色。</w:t>
            </w:r>
          </w:p>
        </w:tc>
        <w:tc>
          <w:tcPr>
            <w:tcW w:w="1091" w:type="dxa"/>
            <w:tcBorders>
              <w:top w:val="single" w:color="auto" w:sz="4" w:space="0"/>
              <w:left w:val="nil"/>
              <w:bottom w:val="single" w:color="auto" w:sz="4" w:space="0"/>
              <w:right w:val="single" w:color="auto" w:sz="4" w:space="0"/>
            </w:tcBorders>
            <w:vAlign w:val="center"/>
          </w:tcPr>
          <w:p>
            <w:pPr>
              <w:jc w:val="center"/>
              <w:rPr>
                <w:rFonts w:ascii="仿宋_GB2312" w:hAnsi="仿宋_GB2312" w:cs="仿宋_GB2312"/>
                <w:sz w:val="21"/>
                <w:szCs w:val="21"/>
              </w:rPr>
            </w:pPr>
            <w:r>
              <w:rPr>
                <w:rFonts w:hint="eastAsia" w:ascii="仿宋_GB2312" w:hAnsi="仿宋_GB2312" w:cs="仿宋_GB2312"/>
                <w:sz w:val="21"/>
                <w:szCs w:val="21"/>
              </w:rPr>
              <w:t>180</w:t>
            </w:r>
          </w:p>
        </w:tc>
      </w:tr>
      <w:tr>
        <w:tblPrEx>
          <w:tblCellMar>
            <w:top w:w="0" w:type="dxa"/>
            <w:left w:w="108" w:type="dxa"/>
            <w:bottom w:w="0" w:type="dxa"/>
            <w:right w:w="108" w:type="dxa"/>
          </w:tblCellMar>
        </w:tblPrEx>
        <w:trPr>
          <w:jc w:val="center"/>
        </w:trPr>
        <w:tc>
          <w:tcPr>
            <w:tcW w:w="74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cs="仿宋_GB2312"/>
                <w:sz w:val="21"/>
                <w:szCs w:val="21"/>
              </w:rPr>
            </w:pPr>
            <w:r>
              <w:rPr>
                <w:rFonts w:hint="eastAsia" w:ascii="仿宋_GB2312" w:hAnsi="仿宋_GB2312" w:cs="仿宋_GB2312"/>
                <w:sz w:val="21"/>
                <w:szCs w:val="21"/>
              </w:rPr>
              <w:t>3</w:t>
            </w:r>
          </w:p>
        </w:tc>
        <w:tc>
          <w:tcPr>
            <w:tcW w:w="1275" w:type="dxa"/>
            <w:tcBorders>
              <w:top w:val="single" w:color="auto" w:sz="4" w:space="0"/>
              <w:left w:val="nil"/>
              <w:bottom w:val="single" w:color="auto" w:sz="4" w:space="0"/>
              <w:right w:val="single" w:color="auto" w:sz="4" w:space="0"/>
            </w:tcBorders>
            <w:vAlign w:val="center"/>
          </w:tcPr>
          <w:p>
            <w:pPr>
              <w:jc w:val="center"/>
              <w:rPr>
                <w:rFonts w:ascii="仿宋_GB2312" w:hAnsi="仿宋_GB2312" w:cs="仿宋_GB2312"/>
                <w:sz w:val="21"/>
                <w:szCs w:val="21"/>
              </w:rPr>
            </w:pPr>
            <w:r>
              <w:rPr>
                <w:rFonts w:hint="eastAsia" w:ascii="仿宋_GB2312" w:hAnsi="仿宋_GB2312" w:cs="仿宋_GB2312"/>
                <w:sz w:val="21"/>
                <w:szCs w:val="21"/>
              </w:rPr>
              <w:t>数学</w:t>
            </w:r>
          </w:p>
        </w:tc>
        <w:tc>
          <w:tcPr>
            <w:tcW w:w="6492" w:type="dxa"/>
            <w:tcBorders>
              <w:top w:val="single" w:color="auto" w:sz="4" w:space="0"/>
              <w:left w:val="nil"/>
              <w:bottom w:val="single" w:color="auto" w:sz="4" w:space="0"/>
              <w:right w:val="single" w:color="auto" w:sz="4" w:space="0"/>
            </w:tcBorders>
            <w:vAlign w:val="center"/>
          </w:tcPr>
          <w:p>
            <w:pPr>
              <w:jc w:val="left"/>
              <w:rPr>
                <w:rFonts w:ascii="仿宋_GB2312" w:hAnsi="仿宋_GB2312" w:cs="仿宋_GB2312"/>
                <w:sz w:val="21"/>
                <w:szCs w:val="21"/>
              </w:rPr>
            </w:pPr>
            <w:r>
              <w:rPr>
                <w:rFonts w:hint="eastAsia" w:ascii="仿宋_GB2312" w:hAnsi="仿宋_GB2312" w:cs="仿宋_GB2312"/>
                <w:sz w:val="21"/>
                <w:szCs w:val="21"/>
              </w:rPr>
              <w:t>依据《中等职业学校数学课程标准-（2020年版）》开设，并注重在职业模块的教学内容中体现专业特色。</w:t>
            </w:r>
          </w:p>
        </w:tc>
        <w:tc>
          <w:tcPr>
            <w:tcW w:w="1091" w:type="dxa"/>
            <w:tcBorders>
              <w:top w:val="single" w:color="auto" w:sz="4" w:space="0"/>
              <w:left w:val="nil"/>
              <w:bottom w:val="single" w:color="auto" w:sz="4" w:space="0"/>
              <w:right w:val="single" w:color="auto" w:sz="4" w:space="0"/>
            </w:tcBorders>
            <w:vAlign w:val="center"/>
          </w:tcPr>
          <w:p>
            <w:pPr>
              <w:jc w:val="center"/>
              <w:rPr>
                <w:rFonts w:ascii="仿宋_GB2312" w:hAnsi="仿宋_GB2312" w:cs="仿宋_GB2312"/>
                <w:sz w:val="21"/>
                <w:szCs w:val="21"/>
              </w:rPr>
            </w:pPr>
            <w:r>
              <w:rPr>
                <w:rFonts w:hint="eastAsia" w:ascii="仿宋_GB2312" w:hAnsi="仿宋_GB2312" w:cs="仿宋_GB2312"/>
                <w:sz w:val="21"/>
                <w:szCs w:val="21"/>
              </w:rPr>
              <w:t>144</w:t>
            </w:r>
          </w:p>
        </w:tc>
      </w:tr>
      <w:tr>
        <w:tblPrEx>
          <w:tblCellMar>
            <w:top w:w="0" w:type="dxa"/>
            <w:left w:w="108" w:type="dxa"/>
            <w:bottom w:w="0" w:type="dxa"/>
            <w:right w:w="108" w:type="dxa"/>
          </w:tblCellMar>
        </w:tblPrEx>
        <w:trPr>
          <w:jc w:val="center"/>
        </w:trPr>
        <w:tc>
          <w:tcPr>
            <w:tcW w:w="74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cs="仿宋_GB2312"/>
                <w:sz w:val="21"/>
                <w:szCs w:val="21"/>
              </w:rPr>
            </w:pPr>
            <w:r>
              <w:rPr>
                <w:rFonts w:hint="eastAsia" w:ascii="仿宋_GB2312" w:hAnsi="仿宋_GB2312" w:cs="仿宋_GB2312"/>
                <w:sz w:val="21"/>
                <w:szCs w:val="21"/>
              </w:rPr>
              <w:t>4</w:t>
            </w:r>
          </w:p>
        </w:tc>
        <w:tc>
          <w:tcPr>
            <w:tcW w:w="1275" w:type="dxa"/>
            <w:tcBorders>
              <w:top w:val="single" w:color="auto" w:sz="4" w:space="0"/>
              <w:left w:val="nil"/>
              <w:bottom w:val="single" w:color="auto" w:sz="4" w:space="0"/>
              <w:right w:val="single" w:color="auto" w:sz="4" w:space="0"/>
            </w:tcBorders>
            <w:vAlign w:val="center"/>
          </w:tcPr>
          <w:p>
            <w:pPr>
              <w:jc w:val="center"/>
              <w:rPr>
                <w:rFonts w:ascii="仿宋_GB2312" w:hAnsi="仿宋_GB2312" w:cs="仿宋_GB2312"/>
                <w:sz w:val="21"/>
                <w:szCs w:val="21"/>
              </w:rPr>
            </w:pPr>
            <w:r>
              <w:rPr>
                <w:rFonts w:hint="eastAsia" w:ascii="仿宋_GB2312" w:hAnsi="仿宋_GB2312" w:cs="仿宋_GB2312"/>
                <w:sz w:val="21"/>
                <w:szCs w:val="21"/>
              </w:rPr>
              <w:t>英语</w:t>
            </w:r>
          </w:p>
        </w:tc>
        <w:tc>
          <w:tcPr>
            <w:tcW w:w="6492" w:type="dxa"/>
            <w:tcBorders>
              <w:top w:val="single" w:color="auto" w:sz="4" w:space="0"/>
              <w:left w:val="nil"/>
              <w:bottom w:val="single" w:color="auto" w:sz="4" w:space="0"/>
              <w:right w:val="single" w:color="auto" w:sz="4" w:space="0"/>
            </w:tcBorders>
            <w:vAlign w:val="center"/>
          </w:tcPr>
          <w:p>
            <w:pPr>
              <w:jc w:val="left"/>
              <w:rPr>
                <w:rFonts w:ascii="仿宋_GB2312" w:hAnsi="仿宋_GB2312" w:cs="仿宋_GB2312"/>
                <w:sz w:val="21"/>
                <w:szCs w:val="21"/>
              </w:rPr>
            </w:pPr>
            <w:r>
              <w:rPr>
                <w:rFonts w:hint="eastAsia" w:ascii="仿宋_GB2312" w:hAnsi="仿宋_GB2312" w:cs="仿宋_GB2312"/>
                <w:sz w:val="21"/>
                <w:szCs w:val="21"/>
              </w:rPr>
              <w:t>依据《中等职业学校英语课程标准-（2020年版）》开设，并注重在职业模块的教学内容中体现专业特色。</w:t>
            </w:r>
          </w:p>
        </w:tc>
        <w:tc>
          <w:tcPr>
            <w:tcW w:w="1091" w:type="dxa"/>
            <w:tcBorders>
              <w:top w:val="single" w:color="auto" w:sz="4" w:space="0"/>
              <w:left w:val="nil"/>
              <w:bottom w:val="single" w:color="auto" w:sz="4" w:space="0"/>
              <w:right w:val="single" w:color="auto" w:sz="4" w:space="0"/>
            </w:tcBorders>
            <w:vAlign w:val="center"/>
          </w:tcPr>
          <w:p>
            <w:pPr>
              <w:jc w:val="center"/>
              <w:rPr>
                <w:rFonts w:ascii="仿宋_GB2312" w:hAnsi="仿宋_GB2312" w:cs="仿宋_GB2312"/>
                <w:sz w:val="21"/>
                <w:szCs w:val="21"/>
              </w:rPr>
            </w:pPr>
            <w:r>
              <w:rPr>
                <w:rFonts w:hint="eastAsia" w:ascii="仿宋_GB2312" w:hAnsi="仿宋_GB2312" w:cs="仿宋_GB2312"/>
                <w:sz w:val="21"/>
                <w:szCs w:val="21"/>
              </w:rPr>
              <w:t>144</w:t>
            </w:r>
          </w:p>
        </w:tc>
      </w:tr>
      <w:tr>
        <w:tblPrEx>
          <w:tblCellMar>
            <w:top w:w="0" w:type="dxa"/>
            <w:left w:w="108" w:type="dxa"/>
            <w:bottom w:w="0" w:type="dxa"/>
            <w:right w:w="108" w:type="dxa"/>
          </w:tblCellMar>
        </w:tblPrEx>
        <w:trPr>
          <w:jc w:val="center"/>
        </w:trPr>
        <w:tc>
          <w:tcPr>
            <w:tcW w:w="74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cs="仿宋_GB2312"/>
                <w:sz w:val="21"/>
                <w:szCs w:val="21"/>
              </w:rPr>
            </w:pPr>
            <w:r>
              <w:rPr>
                <w:rFonts w:hint="eastAsia" w:ascii="仿宋_GB2312" w:hAnsi="仿宋_GB2312" w:cs="仿宋_GB2312"/>
                <w:sz w:val="21"/>
                <w:szCs w:val="21"/>
              </w:rPr>
              <w:t>5</w:t>
            </w:r>
          </w:p>
        </w:tc>
        <w:tc>
          <w:tcPr>
            <w:tcW w:w="1275" w:type="dxa"/>
            <w:tcBorders>
              <w:top w:val="single" w:color="auto" w:sz="4" w:space="0"/>
              <w:left w:val="nil"/>
              <w:bottom w:val="single" w:color="auto" w:sz="4" w:space="0"/>
              <w:right w:val="single" w:color="auto" w:sz="4" w:space="0"/>
            </w:tcBorders>
            <w:vAlign w:val="center"/>
          </w:tcPr>
          <w:p>
            <w:pPr>
              <w:jc w:val="center"/>
              <w:rPr>
                <w:rFonts w:ascii="仿宋_GB2312" w:hAnsi="仿宋_GB2312" w:cs="仿宋_GB2312"/>
                <w:sz w:val="21"/>
                <w:szCs w:val="21"/>
              </w:rPr>
            </w:pPr>
            <w:r>
              <w:rPr>
                <w:rFonts w:hint="eastAsia" w:ascii="仿宋_GB2312" w:hAnsi="仿宋_GB2312" w:cs="仿宋_GB2312"/>
                <w:sz w:val="21"/>
                <w:szCs w:val="21"/>
              </w:rPr>
              <w:t>信息技术</w:t>
            </w:r>
          </w:p>
        </w:tc>
        <w:tc>
          <w:tcPr>
            <w:tcW w:w="6492" w:type="dxa"/>
            <w:tcBorders>
              <w:top w:val="single" w:color="auto" w:sz="4" w:space="0"/>
              <w:left w:val="nil"/>
              <w:bottom w:val="single" w:color="auto" w:sz="4" w:space="0"/>
              <w:right w:val="single" w:color="auto" w:sz="4" w:space="0"/>
            </w:tcBorders>
            <w:vAlign w:val="center"/>
          </w:tcPr>
          <w:p>
            <w:pPr>
              <w:jc w:val="left"/>
              <w:rPr>
                <w:rFonts w:ascii="仿宋_GB2312" w:hAnsi="仿宋_GB2312" w:cs="仿宋_GB2312"/>
                <w:sz w:val="21"/>
                <w:szCs w:val="21"/>
              </w:rPr>
            </w:pPr>
            <w:r>
              <w:rPr>
                <w:rFonts w:hint="eastAsia" w:ascii="仿宋_GB2312" w:hAnsi="仿宋_GB2312" w:cs="仿宋_GB2312"/>
                <w:sz w:val="21"/>
                <w:szCs w:val="21"/>
              </w:rPr>
              <w:t>依据《中等职业学校信息技术课程标准-（2020年版）》开设，并注重在职业模块的教学内容中体现专业特色。</w:t>
            </w:r>
          </w:p>
        </w:tc>
        <w:tc>
          <w:tcPr>
            <w:tcW w:w="1091" w:type="dxa"/>
            <w:tcBorders>
              <w:top w:val="single" w:color="auto" w:sz="4" w:space="0"/>
              <w:left w:val="nil"/>
              <w:bottom w:val="single" w:color="auto" w:sz="4" w:space="0"/>
              <w:right w:val="single" w:color="auto" w:sz="4" w:space="0"/>
            </w:tcBorders>
            <w:vAlign w:val="center"/>
          </w:tcPr>
          <w:p>
            <w:pPr>
              <w:jc w:val="center"/>
              <w:rPr>
                <w:rFonts w:ascii="仿宋_GB2312" w:hAnsi="仿宋_GB2312" w:cs="仿宋_GB2312"/>
                <w:sz w:val="21"/>
                <w:szCs w:val="21"/>
              </w:rPr>
            </w:pPr>
            <w:r>
              <w:rPr>
                <w:rFonts w:hint="eastAsia" w:ascii="仿宋_GB2312" w:hAnsi="仿宋_GB2312" w:cs="仿宋_GB2312"/>
                <w:sz w:val="21"/>
                <w:szCs w:val="21"/>
              </w:rPr>
              <w:t>72</w:t>
            </w:r>
          </w:p>
        </w:tc>
      </w:tr>
      <w:tr>
        <w:tblPrEx>
          <w:tblCellMar>
            <w:top w:w="0" w:type="dxa"/>
            <w:left w:w="108" w:type="dxa"/>
            <w:bottom w:w="0" w:type="dxa"/>
            <w:right w:w="108" w:type="dxa"/>
          </w:tblCellMar>
        </w:tblPrEx>
        <w:trPr>
          <w:jc w:val="center"/>
        </w:trPr>
        <w:tc>
          <w:tcPr>
            <w:tcW w:w="74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cs="仿宋_GB2312"/>
                <w:sz w:val="21"/>
                <w:szCs w:val="21"/>
              </w:rPr>
            </w:pPr>
            <w:r>
              <w:rPr>
                <w:rFonts w:hint="eastAsia" w:ascii="仿宋_GB2312" w:hAnsi="仿宋_GB2312" w:cs="仿宋_GB2312"/>
                <w:sz w:val="21"/>
                <w:szCs w:val="21"/>
              </w:rPr>
              <w:t>6</w:t>
            </w:r>
          </w:p>
        </w:tc>
        <w:tc>
          <w:tcPr>
            <w:tcW w:w="1275" w:type="dxa"/>
            <w:tcBorders>
              <w:top w:val="single" w:color="auto" w:sz="4" w:space="0"/>
              <w:left w:val="nil"/>
              <w:bottom w:val="single" w:color="auto" w:sz="4" w:space="0"/>
              <w:right w:val="single" w:color="auto" w:sz="4" w:space="0"/>
            </w:tcBorders>
            <w:vAlign w:val="center"/>
          </w:tcPr>
          <w:p>
            <w:pPr>
              <w:jc w:val="center"/>
              <w:rPr>
                <w:rFonts w:ascii="仿宋_GB2312" w:hAnsi="仿宋_GB2312" w:cs="仿宋_GB2312"/>
                <w:sz w:val="21"/>
                <w:szCs w:val="21"/>
              </w:rPr>
            </w:pPr>
            <w:r>
              <w:rPr>
                <w:rFonts w:hint="eastAsia" w:ascii="仿宋_GB2312" w:hAnsi="仿宋_GB2312" w:cs="仿宋_GB2312"/>
                <w:sz w:val="21"/>
                <w:szCs w:val="21"/>
              </w:rPr>
              <w:t>体育与健康</w:t>
            </w:r>
          </w:p>
        </w:tc>
        <w:tc>
          <w:tcPr>
            <w:tcW w:w="6492" w:type="dxa"/>
            <w:tcBorders>
              <w:top w:val="single" w:color="auto" w:sz="4" w:space="0"/>
              <w:left w:val="nil"/>
              <w:bottom w:val="single" w:color="auto" w:sz="4" w:space="0"/>
              <w:right w:val="single" w:color="auto" w:sz="4" w:space="0"/>
            </w:tcBorders>
            <w:vAlign w:val="center"/>
          </w:tcPr>
          <w:p>
            <w:pPr>
              <w:jc w:val="left"/>
              <w:rPr>
                <w:rFonts w:ascii="仿宋_GB2312" w:hAnsi="仿宋_GB2312" w:cs="仿宋_GB2312"/>
                <w:sz w:val="21"/>
                <w:szCs w:val="21"/>
              </w:rPr>
            </w:pPr>
            <w:r>
              <w:rPr>
                <w:rFonts w:hint="eastAsia" w:ascii="仿宋_GB2312" w:hAnsi="仿宋_GB2312" w:cs="仿宋_GB2312"/>
                <w:sz w:val="21"/>
                <w:szCs w:val="21"/>
              </w:rPr>
              <w:t>依据《中等职业学校体育与健康课程标准-（2020年版）》开设，并与专业实际和行业发展密切结合。</w:t>
            </w:r>
          </w:p>
        </w:tc>
        <w:tc>
          <w:tcPr>
            <w:tcW w:w="1091" w:type="dxa"/>
            <w:tcBorders>
              <w:top w:val="single" w:color="auto" w:sz="4" w:space="0"/>
              <w:left w:val="nil"/>
              <w:bottom w:val="single" w:color="auto" w:sz="4" w:space="0"/>
              <w:right w:val="single" w:color="auto" w:sz="4" w:space="0"/>
            </w:tcBorders>
            <w:vAlign w:val="center"/>
          </w:tcPr>
          <w:p>
            <w:pPr>
              <w:jc w:val="center"/>
              <w:rPr>
                <w:rFonts w:ascii="仿宋_GB2312" w:hAnsi="仿宋_GB2312" w:cs="仿宋_GB2312"/>
                <w:sz w:val="21"/>
                <w:szCs w:val="21"/>
              </w:rPr>
            </w:pPr>
            <w:r>
              <w:rPr>
                <w:rFonts w:hint="eastAsia" w:ascii="仿宋_GB2312" w:hAnsi="仿宋_GB2312" w:cs="仿宋_GB2312"/>
                <w:sz w:val="21"/>
                <w:szCs w:val="21"/>
              </w:rPr>
              <w:t>180</w:t>
            </w:r>
          </w:p>
        </w:tc>
      </w:tr>
      <w:tr>
        <w:tblPrEx>
          <w:tblCellMar>
            <w:top w:w="0" w:type="dxa"/>
            <w:left w:w="108" w:type="dxa"/>
            <w:bottom w:w="0" w:type="dxa"/>
            <w:right w:w="108" w:type="dxa"/>
          </w:tblCellMar>
        </w:tblPrEx>
        <w:trPr>
          <w:jc w:val="center"/>
        </w:trPr>
        <w:tc>
          <w:tcPr>
            <w:tcW w:w="74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cs="仿宋_GB2312"/>
                <w:sz w:val="21"/>
                <w:szCs w:val="21"/>
              </w:rPr>
            </w:pPr>
            <w:r>
              <w:rPr>
                <w:rFonts w:hint="eastAsia" w:ascii="仿宋_GB2312" w:hAnsi="仿宋_GB2312" w:cs="仿宋_GB2312"/>
                <w:sz w:val="21"/>
                <w:szCs w:val="21"/>
              </w:rPr>
              <w:t>7</w:t>
            </w:r>
          </w:p>
        </w:tc>
        <w:tc>
          <w:tcPr>
            <w:tcW w:w="1275" w:type="dxa"/>
            <w:tcBorders>
              <w:top w:val="single" w:color="auto" w:sz="4" w:space="0"/>
              <w:left w:val="nil"/>
              <w:bottom w:val="single" w:color="auto" w:sz="4" w:space="0"/>
              <w:right w:val="single" w:color="auto" w:sz="4" w:space="0"/>
            </w:tcBorders>
            <w:vAlign w:val="center"/>
          </w:tcPr>
          <w:p>
            <w:pPr>
              <w:jc w:val="center"/>
              <w:rPr>
                <w:rFonts w:ascii="仿宋_GB2312" w:hAnsi="仿宋_GB2312" w:cs="仿宋_GB2312"/>
                <w:sz w:val="21"/>
                <w:szCs w:val="21"/>
              </w:rPr>
            </w:pPr>
            <w:r>
              <w:rPr>
                <w:rFonts w:hint="eastAsia" w:ascii="仿宋_GB2312" w:hAnsi="仿宋_GB2312" w:cs="仿宋_GB2312"/>
                <w:sz w:val="21"/>
                <w:szCs w:val="21"/>
              </w:rPr>
              <w:t>艺术</w:t>
            </w:r>
          </w:p>
        </w:tc>
        <w:tc>
          <w:tcPr>
            <w:tcW w:w="6492" w:type="dxa"/>
            <w:tcBorders>
              <w:top w:val="single" w:color="auto" w:sz="4" w:space="0"/>
              <w:left w:val="nil"/>
              <w:bottom w:val="single" w:color="auto" w:sz="4" w:space="0"/>
              <w:right w:val="single" w:color="auto" w:sz="4" w:space="0"/>
            </w:tcBorders>
            <w:vAlign w:val="center"/>
          </w:tcPr>
          <w:p>
            <w:pPr>
              <w:jc w:val="left"/>
              <w:rPr>
                <w:rFonts w:ascii="仿宋_GB2312" w:hAnsi="仿宋_GB2312" w:cs="仿宋_GB2312"/>
                <w:sz w:val="21"/>
                <w:szCs w:val="21"/>
              </w:rPr>
            </w:pPr>
            <w:r>
              <w:rPr>
                <w:rFonts w:hint="eastAsia" w:ascii="仿宋_GB2312" w:hAnsi="仿宋_GB2312" w:cs="仿宋_GB2312"/>
                <w:sz w:val="21"/>
                <w:szCs w:val="21"/>
              </w:rPr>
              <w:t>依据《中等职业学校公共艺术课程标准-（2020年版）》开设，并注重在职业模块的教学内容中体现专业特色。</w:t>
            </w:r>
          </w:p>
        </w:tc>
        <w:tc>
          <w:tcPr>
            <w:tcW w:w="1091" w:type="dxa"/>
            <w:tcBorders>
              <w:top w:val="single" w:color="auto" w:sz="4" w:space="0"/>
              <w:left w:val="nil"/>
              <w:bottom w:val="single" w:color="auto" w:sz="4" w:space="0"/>
              <w:right w:val="single" w:color="auto" w:sz="4" w:space="0"/>
            </w:tcBorders>
            <w:vAlign w:val="center"/>
          </w:tcPr>
          <w:p>
            <w:pPr>
              <w:jc w:val="center"/>
              <w:rPr>
                <w:rFonts w:ascii="仿宋_GB2312" w:hAnsi="仿宋_GB2312" w:cs="仿宋_GB2312"/>
                <w:sz w:val="21"/>
                <w:szCs w:val="21"/>
              </w:rPr>
            </w:pPr>
            <w:r>
              <w:rPr>
                <w:rFonts w:hint="eastAsia" w:ascii="仿宋_GB2312" w:hAnsi="仿宋_GB2312" w:cs="仿宋_GB2312"/>
                <w:sz w:val="21"/>
                <w:szCs w:val="21"/>
              </w:rPr>
              <w:t>72</w:t>
            </w:r>
          </w:p>
        </w:tc>
      </w:tr>
      <w:tr>
        <w:tblPrEx>
          <w:tblCellMar>
            <w:top w:w="0" w:type="dxa"/>
            <w:left w:w="108" w:type="dxa"/>
            <w:bottom w:w="0" w:type="dxa"/>
            <w:right w:w="108" w:type="dxa"/>
          </w:tblCellMar>
        </w:tblPrEx>
        <w:trPr>
          <w:jc w:val="center"/>
        </w:trPr>
        <w:tc>
          <w:tcPr>
            <w:tcW w:w="74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cs="仿宋_GB2312"/>
                <w:sz w:val="21"/>
                <w:szCs w:val="21"/>
              </w:rPr>
            </w:pPr>
            <w:r>
              <w:rPr>
                <w:rFonts w:hint="eastAsia" w:ascii="仿宋_GB2312" w:hAnsi="仿宋_GB2312" w:cs="仿宋_GB2312"/>
                <w:sz w:val="21"/>
                <w:szCs w:val="21"/>
              </w:rPr>
              <w:t>8</w:t>
            </w:r>
          </w:p>
        </w:tc>
        <w:tc>
          <w:tcPr>
            <w:tcW w:w="1275" w:type="dxa"/>
            <w:tcBorders>
              <w:top w:val="single" w:color="auto" w:sz="4" w:space="0"/>
              <w:left w:val="nil"/>
              <w:bottom w:val="single" w:color="auto" w:sz="4" w:space="0"/>
              <w:right w:val="single" w:color="auto" w:sz="4" w:space="0"/>
            </w:tcBorders>
            <w:vAlign w:val="center"/>
          </w:tcPr>
          <w:p>
            <w:pPr>
              <w:jc w:val="center"/>
              <w:rPr>
                <w:rFonts w:ascii="仿宋_GB2312" w:hAnsi="仿宋_GB2312" w:cs="仿宋_GB2312"/>
                <w:sz w:val="21"/>
                <w:szCs w:val="21"/>
              </w:rPr>
            </w:pPr>
            <w:r>
              <w:rPr>
                <w:rFonts w:hint="eastAsia" w:ascii="仿宋_GB2312" w:hAnsi="仿宋_GB2312" w:cs="仿宋_GB2312"/>
                <w:sz w:val="21"/>
                <w:szCs w:val="21"/>
              </w:rPr>
              <w:t>历史</w:t>
            </w:r>
          </w:p>
        </w:tc>
        <w:tc>
          <w:tcPr>
            <w:tcW w:w="6492" w:type="dxa"/>
            <w:tcBorders>
              <w:top w:val="single" w:color="auto" w:sz="4" w:space="0"/>
              <w:left w:val="nil"/>
              <w:bottom w:val="single" w:color="auto" w:sz="4" w:space="0"/>
              <w:right w:val="single" w:color="auto" w:sz="4" w:space="0"/>
            </w:tcBorders>
            <w:vAlign w:val="center"/>
          </w:tcPr>
          <w:p>
            <w:pPr>
              <w:jc w:val="left"/>
              <w:rPr>
                <w:rFonts w:ascii="仿宋_GB2312" w:hAnsi="仿宋_GB2312" w:cs="仿宋_GB2312"/>
                <w:sz w:val="21"/>
                <w:szCs w:val="21"/>
              </w:rPr>
            </w:pPr>
            <w:r>
              <w:rPr>
                <w:rFonts w:hint="eastAsia" w:ascii="仿宋_GB2312" w:hAnsi="仿宋_GB2312" w:cs="仿宋_GB2312"/>
                <w:sz w:val="21"/>
                <w:szCs w:val="21"/>
              </w:rPr>
              <w:t>依据《中等职业学校历史课程标准-（2020年版）》开设，并与学生专业能力发展和职业岗位需求密切结合。</w:t>
            </w:r>
          </w:p>
        </w:tc>
        <w:tc>
          <w:tcPr>
            <w:tcW w:w="1091" w:type="dxa"/>
            <w:tcBorders>
              <w:top w:val="single" w:color="auto" w:sz="4" w:space="0"/>
              <w:left w:val="nil"/>
              <w:bottom w:val="single" w:color="auto" w:sz="4" w:space="0"/>
              <w:right w:val="single" w:color="auto" w:sz="4" w:space="0"/>
            </w:tcBorders>
            <w:vAlign w:val="center"/>
          </w:tcPr>
          <w:p>
            <w:pPr>
              <w:jc w:val="center"/>
              <w:rPr>
                <w:rFonts w:ascii="仿宋_GB2312" w:hAnsi="仿宋_GB2312" w:cs="仿宋_GB2312"/>
                <w:sz w:val="21"/>
                <w:szCs w:val="21"/>
              </w:rPr>
            </w:pPr>
            <w:r>
              <w:rPr>
                <w:rFonts w:hint="eastAsia" w:ascii="仿宋_GB2312" w:hAnsi="仿宋_GB2312" w:cs="仿宋_GB2312"/>
                <w:sz w:val="21"/>
                <w:szCs w:val="21"/>
              </w:rPr>
              <w:t>72</w:t>
            </w:r>
          </w:p>
        </w:tc>
      </w:tr>
    </w:tbl>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hAnsi="仿宋_GB2312" w:cs="仿宋_GB2312"/>
          <w:sz w:val="21"/>
          <w:szCs w:val="21"/>
        </w:rPr>
      </w:pPr>
      <w:r>
        <w:rPr>
          <w:rFonts w:hint="eastAsia" w:ascii="仿宋_GB2312" w:hAnsi="仿宋_GB2312" w:cs="仿宋_GB2312"/>
          <w:sz w:val="21"/>
          <w:szCs w:val="21"/>
        </w:rPr>
        <w:t>表3  公共基础必修课程一览表</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（2）限定选修课</w:t>
      </w:r>
    </w:p>
    <w:tbl>
      <w:tblPr>
        <w:tblStyle w:val="18"/>
        <w:tblW w:w="9623" w:type="dxa"/>
        <w:tblInd w:w="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1950"/>
        <w:gridCol w:w="5804"/>
        <w:gridCol w:w="1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761" w:type="dxa"/>
            <w:shd w:val="clear" w:color="auto" w:fill="FFFFFF"/>
            <w:vAlign w:val="center"/>
          </w:tcPr>
          <w:p>
            <w:pPr>
              <w:jc w:val="center"/>
              <w:rPr>
                <w:rFonts w:ascii="仿宋_GB2312" w:hAnsi="仿宋_GB2312" w:cs="仿宋_GB2312"/>
                <w:sz w:val="21"/>
                <w:szCs w:val="21"/>
              </w:rPr>
            </w:pPr>
            <w:r>
              <w:rPr>
                <w:rFonts w:hint="eastAsia" w:ascii="仿宋_GB2312" w:hAnsi="仿宋_GB2312" w:cs="仿宋_GB2312"/>
                <w:sz w:val="21"/>
                <w:szCs w:val="21"/>
              </w:rPr>
              <w:t>序号</w:t>
            </w:r>
          </w:p>
        </w:tc>
        <w:tc>
          <w:tcPr>
            <w:tcW w:w="1950" w:type="dxa"/>
            <w:shd w:val="clear" w:color="auto" w:fill="FFFFFF"/>
            <w:vAlign w:val="center"/>
          </w:tcPr>
          <w:p>
            <w:pPr>
              <w:jc w:val="center"/>
              <w:rPr>
                <w:rFonts w:ascii="仿宋_GB2312" w:hAnsi="仿宋_GB2312" w:cs="仿宋_GB2312"/>
                <w:sz w:val="21"/>
                <w:szCs w:val="21"/>
              </w:rPr>
            </w:pPr>
            <w:r>
              <w:rPr>
                <w:rFonts w:hint="eastAsia" w:ascii="仿宋_GB2312" w:hAnsi="仿宋_GB2312" w:cs="仿宋_GB2312"/>
                <w:sz w:val="21"/>
                <w:szCs w:val="21"/>
              </w:rPr>
              <w:t>课程名称</w:t>
            </w:r>
          </w:p>
        </w:tc>
        <w:tc>
          <w:tcPr>
            <w:tcW w:w="5804" w:type="dxa"/>
            <w:shd w:val="clear" w:color="auto" w:fill="FFFFFF"/>
            <w:vAlign w:val="center"/>
          </w:tcPr>
          <w:p>
            <w:pPr>
              <w:jc w:val="center"/>
              <w:rPr>
                <w:rFonts w:ascii="仿宋_GB2312" w:hAnsi="仿宋_GB2312" w:cs="仿宋_GB2312"/>
                <w:sz w:val="21"/>
                <w:szCs w:val="21"/>
              </w:rPr>
            </w:pPr>
            <w:r>
              <w:rPr>
                <w:rFonts w:hint="eastAsia" w:ascii="仿宋_GB2312" w:hAnsi="仿宋_GB2312" w:cs="仿宋_GB2312"/>
                <w:sz w:val="21"/>
                <w:szCs w:val="21"/>
              </w:rPr>
              <w:t>教学内容和要求</w:t>
            </w:r>
          </w:p>
        </w:tc>
        <w:tc>
          <w:tcPr>
            <w:tcW w:w="1108" w:type="dxa"/>
            <w:shd w:val="clear" w:color="auto" w:fill="FFFFFF"/>
            <w:vAlign w:val="center"/>
          </w:tcPr>
          <w:p>
            <w:pPr>
              <w:jc w:val="center"/>
              <w:rPr>
                <w:rFonts w:ascii="仿宋_GB2312" w:hAnsi="仿宋_GB2312" w:cs="仿宋_GB2312"/>
                <w:sz w:val="21"/>
                <w:szCs w:val="21"/>
              </w:rPr>
            </w:pPr>
            <w:r>
              <w:rPr>
                <w:rFonts w:hint="eastAsia" w:ascii="仿宋_GB2312" w:hAnsi="仿宋_GB2312" w:cs="仿宋_GB2312"/>
                <w:sz w:val="21"/>
                <w:szCs w:val="21"/>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shd w:val="clear" w:color="auto" w:fill="FFFFFF"/>
            <w:vAlign w:val="center"/>
          </w:tcPr>
          <w:p>
            <w:pPr>
              <w:jc w:val="center"/>
              <w:rPr>
                <w:rFonts w:ascii="仿宋_GB2312" w:hAnsi="仿宋_GB2312" w:cs="仿宋_GB2312"/>
                <w:sz w:val="21"/>
                <w:szCs w:val="21"/>
              </w:rPr>
            </w:pPr>
            <w:r>
              <w:rPr>
                <w:rFonts w:hint="eastAsia" w:ascii="仿宋_GB2312" w:hAnsi="仿宋_GB2312" w:cs="仿宋_GB2312"/>
                <w:sz w:val="21"/>
                <w:szCs w:val="21"/>
              </w:rPr>
              <w:t>1</w:t>
            </w:r>
          </w:p>
        </w:tc>
        <w:tc>
          <w:tcPr>
            <w:tcW w:w="1950" w:type="dxa"/>
            <w:shd w:val="clear" w:color="auto" w:fill="FFFFFF"/>
            <w:vAlign w:val="center"/>
          </w:tcPr>
          <w:p>
            <w:pPr>
              <w:jc w:val="center"/>
              <w:rPr>
                <w:rFonts w:ascii="仿宋_GB2312" w:hAnsi="仿宋_GB2312" w:cs="仿宋_GB2312"/>
                <w:sz w:val="21"/>
                <w:szCs w:val="21"/>
              </w:rPr>
            </w:pPr>
            <w:r>
              <w:rPr>
                <w:rFonts w:hint="eastAsia" w:ascii="仿宋_GB2312" w:hAnsi="仿宋_GB2312" w:cs="仿宋_GB2312"/>
                <w:sz w:val="21"/>
                <w:szCs w:val="21"/>
              </w:rPr>
              <w:t>中华优秀传统文化</w:t>
            </w:r>
          </w:p>
        </w:tc>
        <w:tc>
          <w:tcPr>
            <w:tcW w:w="5804" w:type="dxa"/>
            <w:shd w:val="clear" w:color="auto" w:fill="FFFFFF"/>
            <w:vAlign w:val="center"/>
          </w:tcPr>
          <w:p>
            <w:pPr>
              <w:rPr>
                <w:rFonts w:ascii="Calibri" w:hAnsi="Calibri"/>
                <w:sz w:val="21"/>
                <w:szCs w:val="21"/>
              </w:rPr>
            </w:pPr>
            <w:r>
              <w:rPr>
                <w:rFonts w:hint="eastAsia" w:ascii="Calibri" w:hAnsi="Calibri"/>
                <w:sz w:val="21"/>
                <w:szCs w:val="21"/>
              </w:rPr>
              <w:t>传播中国传统文化，使学生体会中国传统文化的精髓，引导学生形成正确的价值观，传承和弘扬中华优秀传统文化。</w:t>
            </w:r>
          </w:p>
        </w:tc>
        <w:tc>
          <w:tcPr>
            <w:tcW w:w="1108" w:type="dxa"/>
            <w:shd w:val="clear" w:color="auto" w:fill="FFFFFF"/>
            <w:vAlign w:val="center"/>
          </w:tcPr>
          <w:p>
            <w:pPr>
              <w:jc w:val="center"/>
              <w:rPr>
                <w:rFonts w:ascii="仿宋_GB2312" w:hAnsi="仿宋_GB2312" w:cs="仿宋_GB2312"/>
                <w:sz w:val="21"/>
                <w:szCs w:val="21"/>
              </w:rPr>
            </w:pPr>
            <w:r>
              <w:rPr>
                <w:rFonts w:hint="eastAsia" w:ascii="仿宋_GB2312" w:hAnsi="仿宋_GB2312" w:cs="仿宋_GB2312"/>
                <w:sz w:val="21"/>
                <w:szCs w:val="21"/>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shd w:val="clear" w:color="auto" w:fill="FFFFFF"/>
            <w:vAlign w:val="center"/>
          </w:tcPr>
          <w:p>
            <w:pPr>
              <w:jc w:val="center"/>
              <w:rPr>
                <w:rFonts w:ascii="仿宋_GB2312" w:hAnsi="仿宋_GB2312" w:cs="仿宋_GB2312"/>
                <w:sz w:val="21"/>
                <w:szCs w:val="21"/>
              </w:rPr>
            </w:pPr>
            <w:r>
              <w:rPr>
                <w:rFonts w:hint="eastAsia" w:ascii="仿宋_GB2312" w:hAnsi="仿宋_GB2312" w:cs="仿宋_GB2312"/>
                <w:sz w:val="21"/>
                <w:szCs w:val="21"/>
              </w:rPr>
              <w:t>2</w:t>
            </w:r>
          </w:p>
        </w:tc>
        <w:tc>
          <w:tcPr>
            <w:tcW w:w="1950" w:type="dxa"/>
            <w:shd w:val="clear" w:color="auto" w:fill="FFFFFF"/>
            <w:vAlign w:val="center"/>
          </w:tcPr>
          <w:p>
            <w:pPr>
              <w:jc w:val="center"/>
              <w:rPr>
                <w:rFonts w:ascii="仿宋_GB2312" w:hAnsi="仿宋_GB2312" w:cs="仿宋_GB2312"/>
                <w:sz w:val="21"/>
                <w:szCs w:val="21"/>
              </w:rPr>
            </w:pPr>
            <w:r>
              <w:rPr>
                <w:rFonts w:hint="eastAsia" w:ascii="仿宋_GB2312" w:hAnsi="仿宋_GB2312" w:cs="仿宋_GB2312"/>
                <w:sz w:val="21"/>
                <w:szCs w:val="21"/>
              </w:rPr>
              <w:t>劳动教育</w:t>
            </w:r>
          </w:p>
        </w:tc>
        <w:tc>
          <w:tcPr>
            <w:tcW w:w="5804" w:type="dxa"/>
            <w:shd w:val="clear" w:color="auto" w:fill="FFFFFF"/>
            <w:vAlign w:val="center"/>
          </w:tcPr>
          <w:p>
            <w:pPr>
              <w:rPr>
                <w:rFonts w:ascii="Calibri" w:hAnsi="Calibri"/>
                <w:sz w:val="21"/>
                <w:szCs w:val="21"/>
              </w:rPr>
            </w:pPr>
            <w:r>
              <w:rPr>
                <w:rFonts w:hint="eastAsia" w:ascii="Calibri" w:hAnsi="Calibri"/>
                <w:sz w:val="21"/>
                <w:szCs w:val="21"/>
              </w:rPr>
              <w:t>通过劳动体验，养成良好的劳动素养，增益学生的劳动观念、磨练意志品质，正确认识劳动价值，养成正确的劳动观。</w:t>
            </w:r>
          </w:p>
        </w:tc>
        <w:tc>
          <w:tcPr>
            <w:tcW w:w="1108" w:type="dxa"/>
            <w:shd w:val="clear" w:color="auto" w:fill="FFFFFF"/>
            <w:vAlign w:val="center"/>
          </w:tcPr>
          <w:p>
            <w:pPr>
              <w:jc w:val="center"/>
              <w:rPr>
                <w:rFonts w:ascii="仿宋_GB2312" w:hAnsi="仿宋_GB2312" w:cs="仿宋_GB2312"/>
                <w:sz w:val="21"/>
                <w:szCs w:val="21"/>
              </w:rPr>
            </w:pPr>
            <w:r>
              <w:rPr>
                <w:rFonts w:hint="eastAsia" w:ascii="仿宋_GB2312" w:hAnsi="仿宋_GB2312" w:cs="仿宋_GB2312"/>
                <w:sz w:val="21"/>
                <w:szCs w:val="21"/>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shd w:val="clear" w:color="auto" w:fill="FFFFFF"/>
            <w:vAlign w:val="center"/>
          </w:tcPr>
          <w:p>
            <w:pPr>
              <w:jc w:val="center"/>
              <w:rPr>
                <w:rFonts w:ascii="仿宋_GB2312" w:hAnsi="仿宋_GB2312" w:cs="仿宋_GB2312"/>
                <w:sz w:val="21"/>
                <w:szCs w:val="21"/>
              </w:rPr>
            </w:pPr>
            <w:r>
              <w:rPr>
                <w:rFonts w:hint="eastAsia" w:ascii="仿宋_GB2312" w:hAnsi="仿宋_GB2312" w:cs="仿宋_GB2312"/>
                <w:sz w:val="21"/>
                <w:szCs w:val="21"/>
              </w:rPr>
              <w:t>3</w:t>
            </w:r>
          </w:p>
        </w:tc>
        <w:tc>
          <w:tcPr>
            <w:tcW w:w="1950" w:type="dxa"/>
            <w:shd w:val="clear" w:color="auto" w:fill="FFFFFF"/>
            <w:vAlign w:val="center"/>
          </w:tcPr>
          <w:p>
            <w:pPr>
              <w:jc w:val="center"/>
              <w:rPr>
                <w:rFonts w:ascii="仿宋_GB2312" w:hAnsi="仿宋_GB2312" w:cs="仿宋_GB2312"/>
                <w:sz w:val="21"/>
                <w:szCs w:val="21"/>
              </w:rPr>
            </w:pPr>
            <w:r>
              <w:rPr>
                <w:rFonts w:hint="eastAsia" w:ascii="仿宋_GB2312" w:hAnsi="仿宋_GB2312" w:cs="仿宋_GB2312"/>
                <w:sz w:val="21"/>
                <w:szCs w:val="21"/>
              </w:rPr>
              <w:t>心理健康</w:t>
            </w:r>
          </w:p>
        </w:tc>
        <w:tc>
          <w:tcPr>
            <w:tcW w:w="5804" w:type="dxa"/>
            <w:shd w:val="clear" w:color="auto" w:fill="FFFFFF"/>
            <w:vAlign w:val="center"/>
          </w:tcPr>
          <w:p>
            <w:pPr>
              <w:rPr>
                <w:rFonts w:ascii="Calibri" w:hAnsi="Calibri"/>
                <w:sz w:val="21"/>
                <w:szCs w:val="21"/>
              </w:rPr>
            </w:pPr>
            <w:r>
              <w:rPr>
                <w:rFonts w:hint="eastAsia" w:ascii="Calibri" w:hAnsi="Calibri"/>
                <w:sz w:val="21"/>
                <w:szCs w:val="21"/>
              </w:rPr>
              <w:t>结合生活实际，通过生命学、社会学知识的讲解，解决学生的心理问题，拥有健康的人生观、社会观和积极向上的生活态度。</w:t>
            </w:r>
          </w:p>
        </w:tc>
        <w:tc>
          <w:tcPr>
            <w:tcW w:w="1108" w:type="dxa"/>
            <w:shd w:val="clear" w:color="auto" w:fill="FFFFFF"/>
            <w:vAlign w:val="center"/>
          </w:tcPr>
          <w:p>
            <w:pPr>
              <w:jc w:val="center"/>
              <w:rPr>
                <w:rFonts w:ascii="仿宋_GB2312" w:hAnsi="仿宋_GB2312" w:cs="仿宋_GB2312"/>
                <w:sz w:val="21"/>
                <w:szCs w:val="21"/>
              </w:rPr>
            </w:pPr>
            <w:r>
              <w:rPr>
                <w:rFonts w:hint="eastAsia" w:ascii="仿宋_GB2312" w:hAnsi="仿宋_GB2312" w:cs="仿宋_GB2312"/>
                <w:sz w:val="21"/>
                <w:szCs w:val="21"/>
              </w:rPr>
              <w:t>36</w:t>
            </w:r>
          </w:p>
        </w:tc>
      </w:tr>
    </w:tbl>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hAnsi="仿宋_GB2312" w:cs="仿宋_GB2312"/>
          <w:sz w:val="21"/>
          <w:szCs w:val="21"/>
        </w:rPr>
      </w:pPr>
      <w:r>
        <w:rPr>
          <w:rFonts w:hint="eastAsia" w:ascii="仿宋_GB2312" w:hAnsi="仿宋_GB2312" w:cs="仿宋_GB2312"/>
          <w:sz w:val="21"/>
          <w:szCs w:val="21"/>
        </w:rPr>
        <w:t>表4  公共基础选修课程一览表</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bookmarkStart w:id="65" w:name="_Toc11804"/>
      <w:r>
        <w:rPr>
          <w:rFonts w:hint="eastAsia" w:ascii="仿宋_GB2312" w:hAnsi="仿宋_GB2312" w:cs="仿宋_GB2312"/>
          <w:sz w:val="28"/>
          <w:szCs w:val="28"/>
        </w:rPr>
        <w:t>（2）任意选修课（2选1）</w:t>
      </w:r>
    </w:p>
    <w:tbl>
      <w:tblPr>
        <w:tblStyle w:val="18"/>
        <w:tblW w:w="9623" w:type="dxa"/>
        <w:tblInd w:w="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1950"/>
        <w:gridCol w:w="5804"/>
        <w:gridCol w:w="1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761" w:type="dxa"/>
            <w:shd w:val="clear" w:color="auto" w:fill="FFFFFF"/>
            <w:vAlign w:val="center"/>
          </w:tcPr>
          <w:p>
            <w:pPr>
              <w:jc w:val="center"/>
              <w:rPr>
                <w:rFonts w:ascii="仿宋_GB2312" w:hAnsi="仿宋_GB2312" w:cs="仿宋_GB2312"/>
                <w:sz w:val="21"/>
                <w:szCs w:val="21"/>
              </w:rPr>
            </w:pPr>
            <w:r>
              <w:rPr>
                <w:rFonts w:hint="eastAsia" w:ascii="仿宋_GB2312" w:hAnsi="仿宋_GB2312" w:cs="仿宋_GB2312"/>
                <w:sz w:val="21"/>
                <w:szCs w:val="21"/>
              </w:rPr>
              <w:t>序号</w:t>
            </w:r>
          </w:p>
        </w:tc>
        <w:tc>
          <w:tcPr>
            <w:tcW w:w="1950" w:type="dxa"/>
            <w:shd w:val="clear" w:color="auto" w:fill="FFFFFF"/>
            <w:vAlign w:val="center"/>
          </w:tcPr>
          <w:p>
            <w:pPr>
              <w:jc w:val="center"/>
              <w:rPr>
                <w:rFonts w:ascii="仿宋_GB2312" w:hAnsi="仿宋_GB2312" w:cs="仿宋_GB2312"/>
                <w:sz w:val="21"/>
                <w:szCs w:val="21"/>
              </w:rPr>
            </w:pPr>
            <w:r>
              <w:rPr>
                <w:rFonts w:hint="eastAsia" w:ascii="仿宋_GB2312" w:hAnsi="仿宋_GB2312" w:cs="仿宋_GB2312"/>
                <w:sz w:val="21"/>
                <w:szCs w:val="21"/>
              </w:rPr>
              <w:t>课程名称</w:t>
            </w:r>
          </w:p>
        </w:tc>
        <w:tc>
          <w:tcPr>
            <w:tcW w:w="5804" w:type="dxa"/>
            <w:shd w:val="clear" w:color="auto" w:fill="FFFFFF"/>
            <w:vAlign w:val="center"/>
          </w:tcPr>
          <w:p>
            <w:pPr>
              <w:jc w:val="center"/>
              <w:rPr>
                <w:rFonts w:ascii="仿宋_GB2312" w:hAnsi="仿宋_GB2312" w:cs="仿宋_GB2312"/>
                <w:sz w:val="21"/>
                <w:szCs w:val="21"/>
              </w:rPr>
            </w:pPr>
            <w:r>
              <w:rPr>
                <w:rFonts w:hint="eastAsia" w:ascii="仿宋_GB2312" w:hAnsi="仿宋_GB2312" w:cs="仿宋_GB2312"/>
                <w:sz w:val="21"/>
                <w:szCs w:val="21"/>
              </w:rPr>
              <w:t>教学内容和要求</w:t>
            </w:r>
          </w:p>
        </w:tc>
        <w:tc>
          <w:tcPr>
            <w:tcW w:w="1108" w:type="dxa"/>
            <w:shd w:val="clear" w:color="auto" w:fill="FFFFFF"/>
            <w:vAlign w:val="center"/>
          </w:tcPr>
          <w:p>
            <w:pPr>
              <w:jc w:val="center"/>
              <w:rPr>
                <w:rFonts w:ascii="仿宋_GB2312" w:hAnsi="仿宋_GB2312" w:cs="仿宋_GB2312"/>
                <w:sz w:val="21"/>
                <w:szCs w:val="21"/>
              </w:rPr>
            </w:pPr>
            <w:r>
              <w:rPr>
                <w:rFonts w:hint="eastAsia" w:ascii="仿宋_GB2312" w:hAnsi="仿宋_GB2312" w:cs="仿宋_GB2312"/>
                <w:sz w:val="21"/>
                <w:szCs w:val="21"/>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shd w:val="clear" w:color="auto" w:fill="FFFFFF"/>
            <w:vAlign w:val="center"/>
          </w:tcPr>
          <w:p>
            <w:pPr>
              <w:jc w:val="center"/>
              <w:rPr>
                <w:rFonts w:ascii="仿宋_GB2312" w:hAnsi="仿宋_GB2312" w:cs="仿宋_GB2312"/>
                <w:sz w:val="21"/>
                <w:szCs w:val="21"/>
              </w:rPr>
            </w:pPr>
            <w:r>
              <w:rPr>
                <w:rFonts w:hint="eastAsia" w:ascii="仿宋_GB2312" w:hAnsi="仿宋_GB2312" w:cs="仿宋_GB2312"/>
                <w:sz w:val="21"/>
                <w:szCs w:val="21"/>
              </w:rPr>
              <w:t>1</w:t>
            </w:r>
          </w:p>
        </w:tc>
        <w:tc>
          <w:tcPr>
            <w:tcW w:w="1950" w:type="dxa"/>
            <w:shd w:val="clear" w:color="auto" w:fill="FFFFFF"/>
            <w:vAlign w:val="center"/>
          </w:tcPr>
          <w:p>
            <w:pPr>
              <w:jc w:val="center"/>
              <w:rPr>
                <w:rFonts w:ascii="仿宋_GB2312" w:hAnsi="仿宋_GB2312" w:cs="仿宋_GB2312"/>
                <w:sz w:val="21"/>
                <w:szCs w:val="21"/>
              </w:rPr>
            </w:pPr>
            <w:r>
              <w:rPr>
                <w:rFonts w:hint="eastAsia" w:ascii="仿宋_GB2312" w:hAnsi="仿宋_GB2312" w:cs="仿宋_GB2312"/>
                <w:sz w:val="21"/>
                <w:szCs w:val="21"/>
              </w:rPr>
              <w:t>普通话</w:t>
            </w:r>
          </w:p>
        </w:tc>
        <w:tc>
          <w:tcPr>
            <w:tcW w:w="5804" w:type="dxa"/>
            <w:shd w:val="clear" w:color="auto" w:fill="FFFFFF"/>
            <w:vAlign w:val="center"/>
          </w:tcPr>
          <w:p>
            <w:pPr>
              <w:rPr>
                <w:rFonts w:ascii="Calibri" w:hAnsi="Calibri"/>
                <w:sz w:val="21"/>
                <w:szCs w:val="21"/>
              </w:rPr>
            </w:pPr>
            <w:r>
              <w:rPr>
                <w:rFonts w:hint="eastAsia" w:ascii="Calibri" w:hAnsi="Calibri"/>
                <w:sz w:val="21"/>
                <w:szCs w:val="21"/>
              </w:rPr>
              <w:t>依据中等职业学校学生普通话水平要求开设，并注重在职业模块的教学内容中体现专业特色。</w:t>
            </w:r>
          </w:p>
        </w:tc>
        <w:tc>
          <w:tcPr>
            <w:tcW w:w="1108" w:type="dxa"/>
            <w:shd w:val="clear" w:color="auto" w:fill="FFFFFF"/>
            <w:vAlign w:val="center"/>
          </w:tcPr>
          <w:p>
            <w:pPr>
              <w:jc w:val="center"/>
              <w:rPr>
                <w:rFonts w:ascii="仿宋_GB2312" w:hAnsi="仿宋_GB2312" w:cs="仿宋_GB2312"/>
                <w:sz w:val="21"/>
                <w:szCs w:val="21"/>
              </w:rPr>
            </w:pPr>
            <w:r>
              <w:rPr>
                <w:rFonts w:hint="eastAsia" w:ascii="仿宋_GB2312" w:hAnsi="仿宋_GB2312" w:cs="仿宋_GB2312"/>
                <w:sz w:val="21"/>
                <w:szCs w:val="21"/>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shd w:val="clear" w:color="auto" w:fill="FFFFFF"/>
            <w:vAlign w:val="center"/>
          </w:tcPr>
          <w:p>
            <w:pPr>
              <w:jc w:val="center"/>
              <w:rPr>
                <w:rFonts w:ascii="仿宋_GB2312" w:hAnsi="仿宋_GB2312" w:cs="仿宋_GB2312"/>
                <w:sz w:val="21"/>
                <w:szCs w:val="21"/>
              </w:rPr>
            </w:pPr>
            <w:r>
              <w:rPr>
                <w:rFonts w:hint="eastAsia" w:ascii="仿宋_GB2312" w:hAnsi="仿宋_GB2312" w:cs="仿宋_GB2312"/>
                <w:sz w:val="21"/>
                <w:szCs w:val="21"/>
              </w:rPr>
              <w:t>2</w:t>
            </w:r>
          </w:p>
        </w:tc>
        <w:tc>
          <w:tcPr>
            <w:tcW w:w="1950" w:type="dxa"/>
            <w:shd w:val="clear" w:color="auto" w:fill="FFFFFF"/>
            <w:vAlign w:val="center"/>
          </w:tcPr>
          <w:p>
            <w:pPr>
              <w:jc w:val="center"/>
              <w:rPr>
                <w:rFonts w:ascii="仿宋_GB2312" w:hAnsi="仿宋_GB2312" w:cs="仿宋_GB2312"/>
                <w:sz w:val="21"/>
                <w:szCs w:val="21"/>
              </w:rPr>
            </w:pPr>
            <w:r>
              <w:rPr>
                <w:rFonts w:hint="eastAsia" w:ascii="仿宋_GB2312" w:hAnsi="仿宋_GB2312" w:cs="仿宋_GB2312"/>
                <w:sz w:val="21"/>
                <w:szCs w:val="21"/>
              </w:rPr>
              <w:t>就业指导</w:t>
            </w:r>
          </w:p>
        </w:tc>
        <w:tc>
          <w:tcPr>
            <w:tcW w:w="5804" w:type="dxa"/>
            <w:shd w:val="clear" w:color="auto" w:fill="FFFFFF"/>
            <w:vAlign w:val="center"/>
          </w:tcPr>
          <w:p>
            <w:pPr>
              <w:rPr>
                <w:rFonts w:ascii="Calibri" w:hAnsi="Calibri"/>
                <w:sz w:val="21"/>
                <w:szCs w:val="21"/>
              </w:rPr>
            </w:pPr>
            <w:r>
              <w:rPr>
                <w:rFonts w:hint="eastAsia" w:ascii="Calibri" w:hAnsi="Calibri"/>
                <w:sz w:val="21"/>
                <w:szCs w:val="21"/>
              </w:rPr>
              <w:t>对学生的职业发展进行规划与指导；帮助学生树立正确的职业观和就业观；引导学生正确认识学业和就业的关系；帮助学生顺利就业、成功就业与创业。</w:t>
            </w:r>
          </w:p>
        </w:tc>
        <w:tc>
          <w:tcPr>
            <w:tcW w:w="1108" w:type="dxa"/>
            <w:shd w:val="clear" w:color="auto" w:fill="FFFFFF"/>
            <w:vAlign w:val="center"/>
          </w:tcPr>
          <w:p>
            <w:pPr>
              <w:jc w:val="center"/>
              <w:rPr>
                <w:rFonts w:ascii="仿宋_GB2312" w:hAnsi="仿宋_GB2312" w:cs="仿宋_GB2312"/>
                <w:sz w:val="21"/>
                <w:szCs w:val="21"/>
              </w:rPr>
            </w:pPr>
            <w:r>
              <w:rPr>
                <w:rFonts w:hint="eastAsia" w:ascii="仿宋_GB2312" w:hAnsi="仿宋_GB2312" w:cs="仿宋_GB2312"/>
                <w:sz w:val="21"/>
                <w:szCs w:val="21"/>
              </w:rPr>
              <w:t>36</w:t>
            </w:r>
          </w:p>
        </w:tc>
      </w:tr>
    </w:tbl>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hAnsi="仿宋_GB2312" w:cs="仿宋_GB2312"/>
          <w:sz w:val="28"/>
          <w:szCs w:val="28"/>
        </w:rPr>
      </w:pPr>
      <w:r>
        <w:rPr>
          <w:rFonts w:hint="eastAsia" w:ascii="仿宋_GB2312" w:hAnsi="仿宋_GB2312" w:cs="仿宋_GB2312"/>
          <w:sz w:val="21"/>
          <w:szCs w:val="21"/>
        </w:rPr>
        <w:t>表5  公共基础选修课程一览表</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2.专业技能课程</w:t>
      </w:r>
      <w:bookmarkEnd w:id="65"/>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（1）专业核心课</w:t>
      </w:r>
    </w:p>
    <w:tbl>
      <w:tblPr>
        <w:tblStyle w:val="18"/>
        <w:tblW w:w="9612" w:type="dxa"/>
        <w:tblInd w:w="13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950"/>
        <w:gridCol w:w="5804"/>
        <w:gridCol w:w="1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750" w:type="dxa"/>
            <w:shd w:val="clear" w:color="auto" w:fill="FFFFFF"/>
            <w:vAlign w:val="center"/>
          </w:tcPr>
          <w:p>
            <w:pPr>
              <w:jc w:val="center"/>
              <w:rPr>
                <w:rFonts w:ascii="仿宋_GB2312" w:hAnsi="仿宋_GB2312" w:cs="仿宋_GB2312"/>
                <w:sz w:val="21"/>
                <w:szCs w:val="21"/>
              </w:rPr>
            </w:pPr>
            <w:r>
              <w:rPr>
                <w:rFonts w:hint="eastAsia" w:ascii="仿宋_GB2312" w:hAnsi="仿宋_GB2312" w:cs="仿宋_GB2312"/>
                <w:sz w:val="21"/>
                <w:szCs w:val="21"/>
              </w:rPr>
              <w:t>序号</w:t>
            </w:r>
          </w:p>
        </w:tc>
        <w:tc>
          <w:tcPr>
            <w:tcW w:w="1950" w:type="dxa"/>
            <w:shd w:val="clear" w:color="auto" w:fill="FFFFFF"/>
            <w:vAlign w:val="center"/>
          </w:tcPr>
          <w:p>
            <w:pPr>
              <w:jc w:val="center"/>
              <w:rPr>
                <w:rFonts w:ascii="仿宋_GB2312" w:hAnsi="仿宋_GB2312" w:cs="仿宋_GB2312"/>
                <w:sz w:val="21"/>
                <w:szCs w:val="21"/>
              </w:rPr>
            </w:pPr>
            <w:r>
              <w:rPr>
                <w:rFonts w:hint="eastAsia" w:ascii="仿宋_GB2312" w:hAnsi="仿宋_GB2312" w:cs="仿宋_GB2312"/>
                <w:sz w:val="21"/>
                <w:szCs w:val="21"/>
              </w:rPr>
              <w:t>课程名称</w:t>
            </w:r>
          </w:p>
        </w:tc>
        <w:tc>
          <w:tcPr>
            <w:tcW w:w="5804" w:type="dxa"/>
            <w:shd w:val="clear" w:color="auto" w:fill="FFFFFF"/>
            <w:vAlign w:val="center"/>
          </w:tcPr>
          <w:p>
            <w:pPr>
              <w:jc w:val="center"/>
              <w:rPr>
                <w:rFonts w:ascii="仿宋_GB2312" w:hAnsi="仿宋_GB2312" w:cs="仿宋_GB2312"/>
                <w:sz w:val="21"/>
                <w:szCs w:val="21"/>
              </w:rPr>
            </w:pPr>
            <w:r>
              <w:rPr>
                <w:rFonts w:hint="eastAsia" w:ascii="仿宋_GB2312" w:hAnsi="仿宋_GB2312" w:cs="仿宋_GB2312"/>
                <w:sz w:val="21"/>
                <w:szCs w:val="21"/>
              </w:rPr>
              <w:t>主要教学内容和要求</w:t>
            </w:r>
          </w:p>
        </w:tc>
        <w:tc>
          <w:tcPr>
            <w:tcW w:w="1108" w:type="dxa"/>
            <w:shd w:val="clear" w:color="auto" w:fill="FFFFFF"/>
            <w:vAlign w:val="center"/>
          </w:tcPr>
          <w:p>
            <w:pPr>
              <w:jc w:val="center"/>
              <w:rPr>
                <w:rFonts w:ascii="仿宋_GB2312" w:hAnsi="仿宋_GB2312" w:cs="仿宋_GB2312"/>
                <w:sz w:val="21"/>
                <w:szCs w:val="21"/>
              </w:rPr>
            </w:pPr>
            <w:r>
              <w:rPr>
                <w:rFonts w:hint="eastAsia" w:ascii="仿宋_GB2312" w:hAnsi="仿宋_GB2312" w:cs="仿宋_GB2312"/>
                <w:sz w:val="21"/>
                <w:szCs w:val="21"/>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shd w:val="clear" w:color="auto" w:fill="FFFFFF"/>
            <w:vAlign w:val="center"/>
          </w:tcPr>
          <w:p>
            <w:pPr>
              <w:jc w:val="center"/>
              <w:rPr>
                <w:rFonts w:ascii="仿宋_GB2312" w:hAnsi="仿宋_GB2312" w:cs="仿宋_GB2312"/>
                <w:sz w:val="21"/>
                <w:szCs w:val="21"/>
              </w:rPr>
            </w:pPr>
            <w:r>
              <w:rPr>
                <w:rFonts w:hint="eastAsia" w:ascii="仿宋_GB2312" w:hAnsi="仿宋_GB2312" w:cs="仿宋_GB2312"/>
                <w:sz w:val="21"/>
                <w:szCs w:val="21"/>
              </w:rPr>
              <w:t>1</w:t>
            </w:r>
          </w:p>
        </w:tc>
        <w:tc>
          <w:tcPr>
            <w:tcW w:w="1950" w:type="dxa"/>
            <w:shd w:val="clear" w:color="auto" w:fill="FFFFFF"/>
            <w:vAlign w:val="center"/>
          </w:tcPr>
          <w:p>
            <w:pPr>
              <w:jc w:val="center"/>
              <w:rPr>
                <w:rFonts w:ascii="仿宋_GB2312" w:hAnsi="仿宋_GB2312" w:cs="仿宋_GB2312"/>
                <w:sz w:val="21"/>
                <w:szCs w:val="21"/>
              </w:rPr>
            </w:pPr>
            <w:r>
              <w:rPr>
                <w:rFonts w:hint="eastAsia" w:ascii="仿宋_GB2312" w:hAnsi="仿宋_GB2312" w:cs="仿宋_GB2312"/>
                <w:sz w:val="21"/>
                <w:szCs w:val="21"/>
              </w:rPr>
              <w:t>汽车机械基础</w:t>
            </w:r>
          </w:p>
        </w:tc>
        <w:tc>
          <w:tcPr>
            <w:tcW w:w="5804" w:type="dxa"/>
            <w:shd w:val="clear" w:color="auto" w:fill="FFFFFF"/>
            <w:vAlign w:val="center"/>
          </w:tcPr>
          <w:p>
            <w:pPr>
              <w:jc w:val="left"/>
              <w:rPr>
                <w:rFonts w:ascii="仿宋_GB2312" w:hAnsi="仿宋_GB2312" w:cs="仿宋_GB2312"/>
                <w:sz w:val="21"/>
                <w:szCs w:val="21"/>
              </w:rPr>
            </w:pPr>
            <w:r>
              <w:rPr>
                <w:rFonts w:hint="eastAsia" w:ascii="仿宋_GB2312" w:hAnsi="仿宋_GB2312" w:cs="仿宋_GB2312"/>
                <w:sz w:val="21"/>
                <w:szCs w:val="21"/>
              </w:rPr>
              <w:t>了解常用传动机构的构造、原理和液压传动相关知识；掌握汽车中常见传动机构的工作原理，具备正确识读汽车零件图的能力</w:t>
            </w:r>
          </w:p>
        </w:tc>
        <w:tc>
          <w:tcPr>
            <w:tcW w:w="1108" w:type="dxa"/>
            <w:shd w:val="clear" w:color="auto" w:fill="FFFFFF"/>
            <w:vAlign w:val="center"/>
          </w:tcPr>
          <w:p>
            <w:pPr>
              <w:jc w:val="center"/>
              <w:rPr>
                <w:rFonts w:ascii="仿宋_GB2312" w:hAnsi="仿宋_GB2312" w:cs="仿宋_GB2312"/>
                <w:sz w:val="21"/>
                <w:szCs w:val="21"/>
              </w:rPr>
            </w:pPr>
            <w:r>
              <w:rPr>
                <w:rFonts w:hint="eastAsia" w:ascii="仿宋_GB2312" w:hAnsi="仿宋_GB2312" w:cs="仿宋_GB2312"/>
                <w:sz w:val="21"/>
                <w:szCs w:val="21"/>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shd w:val="clear" w:color="auto" w:fill="FFFFFF"/>
            <w:vAlign w:val="center"/>
          </w:tcPr>
          <w:p>
            <w:pPr>
              <w:jc w:val="center"/>
              <w:rPr>
                <w:rFonts w:ascii="仿宋_GB2312" w:hAnsi="仿宋_GB2312" w:cs="仿宋_GB2312"/>
                <w:sz w:val="21"/>
                <w:szCs w:val="21"/>
              </w:rPr>
            </w:pPr>
            <w:r>
              <w:rPr>
                <w:rFonts w:hint="eastAsia" w:ascii="仿宋_GB2312" w:hAnsi="仿宋_GB2312" w:cs="仿宋_GB2312"/>
                <w:sz w:val="21"/>
                <w:szCs w:val="21"/>
              </w:rPr>
              <w:t>2</w:t>
            </w:r>
          </w:p>
        </w:tc>
        <w:tc>
          <w:tcPr>
            <w:tcW w:w="1950" w:type="dxa"/>
            <w:shd w:val="clear" w:color="auto" w:fill="FFFFFF"/>
            <w:vAlign w:val="center"/>
          </w:tcPr>
          <w:p>
            <w:pPr>
              <w:jc w:val="center"/>
              <w:rPr>
                <w:rFonts w:ascii="仿宋_GB2312" w:hAnsi="仿宋_GB2312" w:cs="仿宋_GB2312"/>
                <w:sz w:val="21"/>
                <w:szCs w:val="21"/>
              </w:rPr>
            </w:pPr>
            <w:r>
              <w:rPr>
                <w:rFonts w:hint="eastAsia" w:ascii="仿宋_GB2312" w:hAnsi="仿宋_GB2312" w:cs="仿宋_GB2312"/>
                <w:sz w:val="21"/>
                <w:szCs w:val="21"/>
              </w:rPr>
              <w:t>汽车电工电子基础</w:t>
            </w:r>
          </w:p>
        </w:tc>
        <w:tc>
          <w:tcPr>
            <w:tcW w:w="5804" w:type="dxa"/>
            <w:shd w:val="clear" w:color="auto" w:fill="FFFFFF"/>
            <w:vAlign w:val="center"/>
          </w:tcPr>
          <w:p>
            <w:pPr>
              <w:jc w:val="left"/>
              <w:rPr>
                <w:rFonts w:ascii="仿宋_GB2312" w:hAnsi="仿宋_GB2312" w:cs="仿宋_GB2312"/>
                <w:sz w:val="21"/>
                <w:szCs w:val="21"/>
              </w:rPr>
            </w:pPr>
            <w:r>
              <w:rPr>
                <w:rFonts w:hint="eastAsia" w:ascii="仿宋_GB2312" w:hAnsi="仿宋_GB2312" w:cs="仿宋_GB2312"/>
                <w:sz w:val="21"/>
                <w:szCs w:val="21"/>
              </w:rPr>
              <w:t>了解电阻、电容、电感、二极管、三极管等汽车常用电子元件的基础知识，并能进行性能检测；能够熟练运算简单的直流电路</w:t>
            </w:r>
          </w:p>
        </w:tc>
        <w:tc>
          <w:tcPr>
            <w:tcW w:w="1108" w:type="dxa"/>
            <w:shd w:val="clear" w:color="auto" w:fill="FFFFFF"/>
            <w:vAlign w:val="center"/>
          </w:tcPr>
          <w:p>
            <w:pPr>
              <w:jc w:val="center"/>
              <w:rPr>
                <w:rFonts w:ascii="仿宋_GB2312" w:hAnsi="仿宋_GB2312" w:cs="仿宋_GB2312"/>
                <w:sz w:val="21"/>
                <w:szCs w:val="21"/>
              </w:rPr>
            </w:pPr>
            <w:r>
              <w:rPr>
                <w:rFonts w:hint="eastAsia" w:ascii="仿宋_GB2312" w:hAnsi="仿宋_GB2312" w:cs="仿宋_GB2312"/>
                <w:sz w:val="21"/>
                <w:szCs w:val="21"/>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shd w:val="clear" w:color="auto" w:fill="FFFFFF"/>
            <w:vAlign w:val="center"/>
          </w:tcPr>
          <w:p>
            <w:pPr>
              <w:jc w:val="center"/>
              <w:rPr>
                <w:rFonts w:ascii="仿宋_GB2312" w:hAnsi="仿宋_GB2312" w:cs="仿宋_GB2312"/>
                <w:sz w:val="21"/>
                <w:szCs w:val="21"/>
              </w:rPr>
            </w:pPr>
            <w:r>
              <w:rPr>
                <w:rFonts w:hint="eastAsia" w:ascii="仿宋_GB2312" w:hAnsi="仿宋_GB2312" w:cs="仿宋_GB2312"/>
                <w:sz w:val="21"/>
                <w:szCs w:val="21"/>
              </w:rPr>
              <w:t>3</w:t>
            </w:r>
          </w:p>
        </w:tc>
        <w:tc>
          <w:tcPr>
            <w:tcW w:w="1950" w:type="dxa"/>
            <w:shd w:val="clear" w:color="auto" w:fill="FFFFFF"/>
            <w:vAlign w:val="center"/>
          </w:tcPr>
          <w:p>
            <w:pPr>
              <w:jc w:val="center"/>
              <w:rPr>
                <w:rFonts w:ascii="仿宋_GB2312" w:hAnsi="仿宋_GB2312" w:cs="仿宋_GB2312"/>
                <w:sz w:val="21"/>
                <w:szCs w:val="21"/>
              </w:rPr>
            </w:pPr>
            <w:r>
              <w:rPr>
                <w:rFonts w:hint="eastAsia" w:ascii="仿宋_GB2312" w:hAnsi="仿宋_GB2312" w:cs="仿宋_GB2312"/>
                <w:sz w:val="21"/>
                <w:szCs w:val="21"/>
              </w:rPr>
              <w:t>汽车发动机构造与维修</w:t>
            </w:r>
          </w:p>
        </w:tc>
        <w:tc>
          <w:tcPr>
            <w:tcW w:w="5804" w:type="dxa"/>
            <w:shd w:val="clear" w:color="auto" w:fill="FFFFFF"/>
            <w:vAlign w:val="center"/>
          </w:tcPr>
          <w:p>
            <w:pPr>
              <w:jc w:val="left"/>
              <w:rPr>
                <w:rFonts w:ascii="仿宋_GB2312" w:hAnsi="仿宋_GB2312" w:cs="仿宋_GB2312"/>
                <w:sz w:val="21"/>
                <w:szCs w:val="21"/>
              </w:rPr>
            </w:pPr>
            <w:r>
              <w:rPr>
                <w:rFonts w:hint="eastAsia" w:ascii="仿宋_GB2312" w:hAnsi="仿宋_GB2312" w:cs="仿宋_GB2312"/>
                <w:sz w:val="21"/>
                <w:szCs w:val="21"/>
              </w:rPr>
              <w:t>了解发动机的结构和工作原理，掌握发动机维护的基础知识，能够拆卸、装配和维修发动机机械部分</w:t>
            </w:r>
          </w:p>
        </w:tc>
        <w:tc>
          <w:tcPr>
            <w:tcW w:w="1108" w:type="dxa"/>
            <w:shd w:val="clear" w:color="auto" w:fill="FFFFFF"/>
            <w:vAlign w:val="center"/>
          </w:tcPr>
          <w:p>
            <w:pPr>
              <w:jc w:val="center"/>
              <w:rPr>
                <w:rFonts w:ascii="仿宋_GB2312" w:hAnsi="仿宋_GB2312" w:cs="仿宋_GB2312"/>
                <w:sz w:val="21"/>
                <w:szCs w:val="21"/>
              </w:rPr>
            </w:pPr>
            <w:r>
              <w:rPr>
                <w:rFonts w:hint="eastAsia" w:ascii="仿宋_GB2312" w:hAnsi="仿宋_GB2312" w:cs="仿宋_GB2312"/>
                <w:sz w:val="21"/>
                <w:szCs w:val="21"/>
              </w:rPr>
              <w:t>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shd w:val="clear" w:color="auto" w:fill="FFFFFF"/>
            <w:vAlign w:val="center"/>
          </w:tcPr>
          <w:p>
            <w:pPr>
              <w:jc w:val="center"/>
              <w:rPr>
                <w:rFonts w:ascii="仿宋_GB2312" w:hAnsi="仿宋_GB2312" w:cs="仿宋_GB2312"/>
                <w:sz w:val="21"/>
                <w:szCs w:val="21"/>
              </w:rPr>
            </w:pPr>
            <w:r>
              <w:rPr>
                <w:rFonts w:hint="eastAsia" w:ascii="仿宋_GB2312" w:hAnsi="仿宋_GB2312" w:cs="仿宋_GB2312"/>
                <w:sz w:val="21"/>
                <w:szCs w:val="21"/>
              </w:rPr>
              <w:t>4</w:t>
            </w:r>
          </w:p>
        </w:tc>
        <w:tc>
          <w:tcPr>
            <w:tcW w:w="1950" w:type="dxa"/>
            <w:shd w:val="clear" w:color="auto" w:fill="FFFFFF"/>
            <w:vAlign w:val="center"/>
          </w:tcPr>
          <w:p>
            <w:pPr>
              <w:jc w:val="center"/>
              <w:rPr>
                <w:rFonts w:ascii="仿宋_GB2312" w:hAnsi="仿宋_GB2312" w:cs="仿宋_GB2312"/>
                <w:sz w:val="21"/>
                <w:szCs w:val="21"/>
              </w:rPr>
            </w:pPr>
            <w:r>
              <w:rPr>
                <w:rFonts w:hint="eastAsia" w:ascii="仿宋_GB2312" w:hAnsi="仿宋_GB2312" w:cs="仿宋_GB2312"/>
                <w:sz w:val="21"/>
                <w:szCs w:val="21"/>
              </w:rPr>
              <w:t>汽车底盘构构造与维修</w:t>
            </w:r>
          </w:p>
        </w:tc>
        <w:tc>
          <w:tcPr>
            <w:tcW w:w="5804" w:type="dxa"/>
            <w:shd w:val="clear" w:color="auto" w:fill="FFFFFF"/>
            <w:vAlign w:val="center"/>
          </w:tcPr>
          <w:p>
            <w:pPr>
              <w:jc w:val="left"/>
              <w:rPr>
                <w:rFonts w:ascii="仿宋_GB2312" w:hAnsi="仿宋_GB2312" w:cs="仿宋_GB2312"/>
                <w:sz w:val="21"/>
                <w:szCs w:val="21"/>
              </w:rPr>
            </w:pPr>
            <w:r>
              <w:rPr>
                <w:rFonts w:hint="eastAsia" w:ascii="仿宋_GB2312" w:hAnsi="仿宋_GB2312" w:cs="仿宋_GB2312"/>
                <w:sz w:val="21"/>
                <w:szCs w:val="21"/>
              </w:rPr>
              <w:t>了解汽车底盘各系统、总成和部件的结构、功用，掌握底盘维护的基础知识，能够拆卸、装配和维修汽车底盘各总成机械部分</w:t>
            </w:r>
          </w:p>
        </w:tc>
        <w:tc>
          <w:tcPr>
            <w:tcW w:w="1108" w:type="dxa"/>
            <w:shd w:val="clear" w:color="auto" w:fill="FFFFFF"/>
            <w:vAlign w:val="center"/>
          </w:tcPr>
          <w:p>
            <w:pPr>
              <w:jc w:val="center"/>
              <w:rPr>
                <w:rFonts w:ascii="仿宋_GB2312" w:hAnsi="仿宋_GB2312" w:cs="仿宋_GB2312"/>
                <w:sz w:val="21"/>
                <w:szCs w:val="21"/>
              </w:rPr>
            </w:pPr>
            <w:r>
              <w:rPr>
                <w:rFonts w:hint="eastAsia" w:ascii="仿宋_GB2312" w:hAnsi="仿宋_GB2312" w:cs="仿宋_GB2312"/>
                <w:sz w:val="21"/>
                <w:szCs w:val="21"/>
              </w:rPr>
              <w:t>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shd w:val="clear" w:color="auto" w:fill="FFFFFF"/>
            <w:vAlign w:val="center"/>
          </w:tcPr>
          <w:p>
            <w:pPr>
              <w:jc w:val="center"/>
              <w:rPr>
                <w:rFonts w:ascii="仿宋_GB2312" w:hAnsi="仿宋_GB2312" w:cs="仿宋_GB2312"/>
                <w:sz w:val="21"/>
                <w:szCs w:val="21"/>
              </w:rPr>
            </w:pPr>
            <w:r>
              <w:rPr>
                <w:rFonts w:hint="eastAsia" w:ascii="仿宋_GB2312" w:hAnsi="仿宋_GB2312" w:cs="仿宋_GB2312"/>
                <w:sz w:val="21"/>
                <w:szCs w:val="21"/>
              </w:rPr>
              <w:t>5</w:t>
            </w:r>
          </w:p>
        </w:tc>
        <w:tc>
          <w:tcPr>
            <w:tcW w:w="1950" w:type="dxa"/>
            <w:shd w:val="clear" w:color="auto" w:fill="FFFFFF"/>
            <w:vAlign w:val="center"/>
          </w:tcPr>
          <w:p>
            <w:pPr>
              <w:jc w:val="center"/>
              <w:rPr>
                <w:rFonts w:ascii="仿宋_GB2312" w:hAnsi="仿宋_GB2312" w:cs="仿宋_GB2312"/>
                <w:sz w:val="21"/>
                <w:szCs w:val="21"/>
              </w:rPr>
            </w:pPr>
            <w:r>
              <w:rPr>
                <w:rFonts w:hint="eastAsia" w:ascii="仿宋_GB2312" w:hAnsi="仿宋_GB2312" w:cs="仿宋_GB2312"/>
                <w:sz w:val="21"/>
                <w:szCs w:val="21"/>
              </w:rPr>
              <w:t>汽车电器设备构造与维修</w:t>
            </w:r>
          </w:p>
        </w:tc>
        <w:tc>
          <w:tcPr>
            <w:tcW w:w="5804" w:type="dxa"/>
            <w:shd w:val="clear" w:color="auto" w:fill="FFFFFF"/>
            <w:vAlign w:val="center"/>
          </w:tcPr>
          <w:p>
            <w:pPr>
              <w:jc w:val="left"/>
              <w:rPr>
                <w:rFonts w:ascii="仿宋_GB2312" w:hAnsi="仿宋_GB2312" w:cs="仿宋_GB2312"/>
                <w:sz w:val="21"/>
                <w:szCs w:val="21"/>
              </w:rPr>
            </w:pPr>
            <w:r>
              <w:rPr>
                <w:rFonts w:hint="eastAsia" w:ascii="仿宋_GB2312" w:hAnsi="仿宋_GB2312" w:cs="仿宋_GB2312"/>
                <w:sz w:val="21"/>
                <w:szCs w:val="21"/>
              </w:rPr>
              <w:t>掌握汽车蓄电池、交流发电机与调节器、起动系统、点火系统、照明与信号系统、仪表与显示系统、等汽车电器设备的专业基础知识。同时，能够实际检测并排除汽车电器设备方面的简单故障。</w:t>
            </w:r>
          </w:p>
        </w:tc>
        <w:tc>
          <w:tcPr>
            <w:tcW w:w="1108" w:type="dxa"/>
            <w:shd w:val="clear" w:color="auto" w:fill="FFFFFF"/>
            <w:vAlign w:val="center"/>
          </w:tcPr>
          <w:p>
            <w:pPr>
              <w:jc w:val="center"/>
              <w:rPr>
                <w:rFonts w:ascii="仿宋_GB2312" w:hAnsi="仿宋_GB2312" w:cs="仿宋_GB2312"/>
                <w:sz w:val="21"/>
                <w:szCs w:val="21"/>
              </w:rPr>
            </w:pPr>
            <w:r>
              <w:rPr>
                <w:rFonts w:hint="eastAsia" w:ascii="仿宋_GB2312" w:hAnsi="仿宋_GB2312" w:cs="仿宋_GB2312"/>
                <w:sz w:val="21"/>
                <w:szCs w:val="21"/>
              </w:rPr>
              <w:t>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shd w:val="clear" w:color="auto" w:fill="FFFFFF"/>
            <w:vAlign w:val="center"/>
          </w:tcPr>
          <w:p>
            <w:pPr>
              <w:jc w:val="center"/>
              <w:rPr>
                <w:rFonts w:ascii="仿宋_GB2312" w:hAnsi="仿宋_GB2312" w:cs="仿宋_GB2312"/>
                <w:sz w:val="21"/>
                <w:szCs w:val="21"/>
              </w:rPr>
            </w:pPr>
            <w:r>
              <w:rPr>
                <w:rFonts w:hint="eastAsia" w:ascii="仿宋_GB2312" w:hAnsi="仿宋_GB2312" w:cs="仿宋_GB2312"/>
                <w:sz w:val="21"/>
                <w:szCs w:val="21"/>
              </w:rPr>
              <w:t>6</w:t>
            </w:r>
          </w:p>
        </w:tc>
        <w:tc>
          <w:tcPr>
            <w:tcW w:w="1950" w:type="dxa"/>
            <w:shd w:val="clear" w:color="auto" w:fill="FFFFFF"/>
            <w:vAlign w:val="center"/>
          </w:tcPr>
          <w:p>
            <w:pPr>
              <w:jc w:val="center"/>
              <w:rPr>
                <w:rFonts w:ascii="仿宋_GB2312" w:hAnsi="仿宋_GB2312" w:cs="仿宋_GB2312"/>
                <w:sz w:val="21"/>
                <w:szCs w:val="21"/>
              </w:rPr>
            </w:pPr>
            <w:r>
              <w:rPr>
                <w:rFonts w:hint="eastAsia" w:ascii="仿宋_GB2312" w:hAnsi="仿宋_GB2312" w:cs="仿宋_GB2312"/>
                <w:sz w:val="21"/>
                <w:szCs w:val="21"/>
              </w:rPr>
              <w:t>汽车定期维护与车轮定位</w:t>
            </w:r>
          </w:p>
        </w:tc>
        <w:tc>
          <w:tcPr>
            <w:tcW w:w="5804" w:type="dxa"/>
            <w:shd w:val="clear" w:color="auto" w:fill="FFFFFF"/>
            <w:vAlign w:val="center"/>
          </w:tcPr>
          <w:p>
            <w:pPr>
              <w:jc w:val="left"/>
              <w:rPr>
                <w:rFonts w:ascii="仿宋_GB2312" w:hAnsi="仿宋_GB2312" w:cs="仿宋_GB2312"/>
                <w:sz w:val="21"/>
                <w:szCs w:val="21"/>
              </w:rPr>
            </w:pPr>
            <w:r>
              <w:rPr>
                <w:rFonts w:hint="eastAsia" w:ascii="仿宋_GB2312" w:hAnsi="仿宋_GB2312" w:cs="仿宋_GB2312"/>
                <w:sz w:val="21"/>
                <w:szCs w:val="21"/>
              </w:rPr>
              <w:t>了解汽车的类型、牌号；掌握汽车各系统与总成的名称、作用、基本结构和连接关系，能初步分析汽车基本结构；能完成新车交车前的检测（PDl检测），能完成汽车5 000 km以内的各级维护，掌握汽车相关零部件的检查和调整方法，能完成汽车40 000 km以内的维护工作，能进行车轮定位、车轮换位、汽车尾气排放检测、汽车电气系统工作情况检查等车辆维护作业，培养学生认真负责的工作态度和团队协作能力。</w:t>
            </w:r>
          </w:p>
        </w:tc>
        <w:tc>
          <w:tcPr>
            <w:tcW w:w="1108" w:type="dxa"/>
            <w:shd w:val="clear" w:color="auto" w:fill="FFFFFF"/>
            <w:vAlign w:val="center"/>
          </w:tcPr>
          <w:p>
            <w:pPr>
              <w:jc w:val="center"/>
              <w:rPr>
                <w:rFonts w:ascii="仿宋_GB2312" w:hAnsi="仿宋_GB2312" w:cs="仿宋_GB2312"/>
                <w:sz w:val="21"/>
                <w:szCs w:val="21"/>
              </w:rPr>
            </w:pPr>
            <w:r>
              <w:rPr>
                <w:rFonts w:hint="eastAsia" w:ascii="仿宋_GB2312" w:hAnsi="仿宋_GB2312" w:cs="仿宋_GB2312"/>
                <w:sz w:val="21"/>
                <w:szCs w:val="21"/>
              </w:rPr>
              <w:t>108</w:t>
            </w:r>
          </w:p>
        </w:tc>
      </w:tr>
    </w:tbl>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hAnsi="仿宋_GB2312" w:cs="仿宋_GB2312"/>
          <w:sz w:val="21"/>
          <w:szCs w:val="21"/>
        </w:rPr>
      </w:pPr>
      <w:r>
        <w:rPr>
          <w:rFonts w:hint="eastAsia" w:ascii="仿宋_GB2312" w:hAnsi="仿宋_GB2312" w:cs="仿宋_GB2312"/>
          <w:sz w:val="21"/>
          <w:szCs w:val="21"/>
        </w:rPr>
        <w:t>表6  专业核心课程一览表</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bookmarkStart w:id="66" w:name="_Toc22788"/>
      <w:r>
        <w:rPr>
          <w:rFonts w:hint="eastAsia" w:ascii="仿宋_GB2312" w:hAnsi="仿宋_GB2312" w:cs="仿宋_GB2312"/>
          <w:sz w:val="28"/>
          <w:szCs w:val="28"/>
        </w:rPr>
        <w:t>（2）专业（技能）方向课</w:t>
      </w:r>
      <w:bookmarkEnd w:id="66"/>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bookmarkStart w:id="67" w:name="_Toc29440"/>
      <w:bookmarkStart w:id="68" w:name="_Toc6050"/>
      <w:r>
        <w:rPr>
          <w:rFonts w:hint="eastAsia" w:ascii="仿宋_GB2312" w:hAnsi="仿宋_GB2312" w:cs="仿宋_GB2312"/>
          <w:sz w:val="28"/>
          <w:szCs w:val="28"/>
        </w:rPr>
        <w:t>①专业技能方向——新能源汽车</w:t>
      </w:r>
      <w:bookmarkEnd w:id="67"/>
      <w:bookmarkEnd w:id="68"/>
      <w:r>
        <w:rPr>
          <w:rFonts w:hint="eastAsia" w:ascii="仿宋_GB2312" w:hAnsi="仿宋_GB2312" w:cs="仿宋_GB2312"/>
          <w:sz w:val="28"/>
          <w:szCs w:val="28"/>
        </w:rPr>
        <w:t>运用与维修</w:t>
      </w:r>
    </w:p>
    <w:tbl>
      <w:tblPr>
        <w:tblStyle w:val="18"/>
        <w:tblW w:w="92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
        <w:gridCol w:w="1813"/>
        <w:gridCol w:w="5480"/>
        <w:gridCol w:w="1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blHeader/>
          <w:jc w:val="center"/>
        </w:trPr>
        <w:tc>
          <w:tcPr>
            <w:tcW w:w="787" w:type="dxa"/>
            <w:vAlign w:val="center"/>
          </w:tcPr>
          <w:p>
            <w:pPr>
              <w:jc w:val="center"/>
              <w:rPr>
                <w:rFonts w:ascii="仿宋_GB2312" w:hAnsi="仿宋_GB2312" w:cs="仿宋_GB2312"/>
                <w:sz w:val="21"/>
                <w:szCs w:val="21"/>
              </w:rPr>
            </w:pPr>
            <w:r>
              <w:rPr>
                <w:rFonts w:hint="eastAsia" w:ascii="仿宋_GB2312" w:hAnsi="仿宋_GB2312" w:cs="仿宋_GB2312"/>
                <w:sz w:val="21"/>
                <w:szCs w:val="21"/>
              </w:rPr>
              <w:t>序号</w:t>
            </w:r>
          </w:p>
        </w:tc>
        <w:tc>
          <w:tcPr>
            <w:tcW w:w="1813" w:type="dxa"/>
            <w:vAlign w:val="center"/>
          </w:tcPr>
          <w:p>
            <w:pPr>
              <w:jc w:val="center"/>
              <w:rPr>
                <w:rFonts w:ascii="仿宋_GB2312" w:hAnsi="仿宋_GB2312" w:cs="仿宋_GB2312"/>
                <w:sz w:val="21"/>
                <w:szCs w:val="21"/>
              </w:rPr>
            </w:pPr>
            <w:r>
              <w:rPr>
                <w:rFonts w:hint="eastAsia" w:ascii="仿宋_GB2312" w:hAnsi="仿宋_GB2312" w:cs="仿宋_GB2312"/>
                <w:sz w:val="21"/>
                <w:szCs w:val="21"/>
              </w:rPr>
              <w:t>课程名称</w:t>
            </w:r>
          </w:p>
        </w:tc>
        <w:tc>
          <w:tcPr>
            <w:tcW w:w="5480" w:type="dxa"/>
            <w:vAlign w:val="center"/>
          </w:tcPr>
          <w:p>
            <w:pPr>
              <w:jc w:val="center"/>
              <w:rPr>
                <w:rFonts w:ascii="仿宋_GB2312" w:hAnsi="仿宋_GB2312" w:cs="仿宋_GB2312"/>
                <w:sz w:val="21"/>
                <w:szCs w:val="21"/>
              </w:rPr>
            </w:pPr>
            <w:r>
              <w:rPr>
                <w:rFonts w:hint="eastAsia" w:ascii="仿宋_GB2312" w:hAnsi="仿宋_GB2312" w:cs="仿宋_GB2312"/>
                <w:sz w:val="21"/>
                <w:szCs w:val="21"/>
              </w:rPr>
              <w:t>主要教学内容和要求</w:t>
            </w:r>
          </w:p>
        </w:tc>
        <w:tc>
          <w:tcPr>
            <w:tcW w:w="1208" w:type="dxa"/>
            <w:vAlign w:val="center"/>
          </w:tcPr>
          <w:p>
            <w:pPr>
              <w:jc w:val="center"/>
              <w:rPr>
                <w:rFonts w:ascii="仿宋_GB2312" w:hAnsi="仿宋_GB2312" w:cs="仿宋_GB2312"/>
                <w:sz w:val="21"/>
                <w:szCs w:val="21"/>
              </w:rPr>
            </w:pPr>
            <w:r>
              <w:rPr>
                <w:rFonts w:hint="eastAsia" w:ascii="仿宋_GB2312" w:hAnsi="仿宋_GB2312" w:cs="仿宋_GB2312"/>
                <w:sz w:val="21"/>
                <w:szCs w:val="21"/>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787" w:type="dxa"/>
            <w:vAlign w:val="center"/>
          </w:tcPr>
          <w:p>
            <w:pPr>
              <w:jc w:val="center"/>
              <w:rPr>
                <w:rFonts w:ascii="仿宋_GB2312" w:hAnsi="仿宋_GB2312" w:cs="仿宋_GB2312"/>
                <w:sz w:val="21"/>
                <w:szCs w:val="21"/>
              </w:rPr>
            </w:pPr>
            <w:r>
              <w:rPr>
                <w:rFonts w:hint="eastAsia" w:ascii="仿宋_GB2312" w:hAnsi="仿宋_GB2312" w:cs="仿宋_GB2312"/>
                <w:sz w:val="21"/>
                <w:szCs w:val="21"/>
              </w:rPr>
              <w:t>1</w:t>
            </w:r>
          </w:p>
        </w:tc>
        <w:tc>
          <w:tcPr>
            <w:tcW w:w="1813" w:type="dxa"/>
            <w:vAlign w:val="center"/>
          </w:tcPr>
          <w:p>
            <w:pPr>
              <w:jc w:val="center"/>
              <w:rPr>
                <w:rFonts w:ascii="仿宋_GB2312" w:hAnsi="仿宋_GB2312" w:cs="仿宋_GB2312"/>
                <w:sz w:val="21"/>
                <w:szCs w:val="21"/>
              </w:rPr>
            </w:pPr>
            <w:r>
              <w:rPr>
                <w:rFonts w:hint="eastAsia" w:ascii="仿宋_GB2312" w:hAnsi="仿宋_GB2312" w:cs="仿宋_GB2312"/>
                <w:sz w:val="21"/>
                <w:szCs w:val="21"/>
              </w:rPr>
              <w:t>新能源汽车概论</w:t>
            </w:r>
          </w:p>
        </w:tc>
        <w:tc>
          <w:tcPr>
            <w:tcW w:w="5480" w:type="dxa"/>
            <w:vAlign w:val="center"/>
          </w:tcPr>
          <w:p>
            <w:pPr>
              <w:jc w:val="left"/>
              <w:rPr>
                <w:rFonts w:ascii="仿宋_GB2312" w:hAnsi="仿宋_GB2312" w:cs="仿宋_GB2312"/>
                <w:sz w:val="21"/>
                <w:szCs w:val="21"/>
              </w:rPr>
            </w:pPr>
            <w:r>
              <w:rPr>
                <w:rFonts w:ascii="仿宋_GB2312" w:hAnsi="仿宋_GB2312" w:cs="仿宋_GB2312"/>
                <w:sz w:val="21"/>
                <w:szCs w:val="21"/>
              </w:rPr>
              <w:t>包括新能源汽车基础知识、新能源汽车发展历程、纯电动汽车结构原理、混合动力汽车结构原理、燃料电池汽车构造原理、新能源汽车维护与修理等内容，同时介绍了高压安全防护、新能源汽车维护设备工具使用，要求学生在学习的过程中对新能源汽车加深了解</w:t>
            </w:r>
          </w:p>
        </w:tc>
        <w:tc>
          <w:tcPr>
            <w:tcW w:w="1208" w:type="dxa"/>
            <w:vAlign w:val="center"/>
          </w:tcPr>
          <w:p>
            <w:pPr>
              <w:jc w:val="center"/>
              <w:rPr>
                <w:rFonts w:ascii="仿宋_GB2312" w:hAnsi="仿宋_GB2312" w:cs="仿宋_GB2312"/>
                <w:sz w:val="21"/>
                <w:szCs w:val="21"/>
              </w:rPr>
            </w:pPr>
            <w:r>
              <w:rPr>
                <w:rFonts w:hint="eastAsia" w:ascii="仿宋_GB2312" w:hAnsi="仿宋_GB2312" w:cs="仿宋_GB2312"/>
                <w:sz w:val="21"/>
                <w:szCs w:val="21"/>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787" w:type="dxa"/>
            <w:vAlign w:val="center"/>
          </w:tcPr>
          <w:p>
            <w:pPr>
              <w:jc w:val="center"/>
              <w:rPr>
                <w:rFonts w:ascii="仿宋_GB2312" w:hAnsi="仿宋_GB2312" w:cs="仿宋_GB2312"/>
                <w:sz w:val="21"/>
                <w:szCs w:val="21"/>
              </w:rPr>
            </w:pPr>
            <w:r>
              <w:rPr>
                <w:rFonts w:hint="eastAsia" w:ascii="仿宋_GB2312" w:hAnsi="仿宋_GB2312" w:cs="仿宋_GB2312"/>
                <w:sz w:val="21"/>
                <w:szCs w:val="21"/>
              </w:rPr>
              <w:t>2</w:t>
            </w:r>
          </w:p>
        </w:tc>
        <w:tc>
          <w:tcPr>
            <w:tcW w:w="1813" w:type="dxa"/>
            <w:vAlign w:val="center"/>
          </w:tcPr>
          <w:p>
            <w:pPr>
              <w:jc w:val="center"/>
              <w:rPr>
                <w:rFonts w:ascii="仿宋_GB2312" w:hAnsi="仿宋_GB2312" w:cs="仿宋_GB2312"/>
                <w:sz w:val="21"/>
                <w:szCs w:val="21"/>
              </w:rPr>
            </w:pPr>
            <w:r>
              <w:rPr>
                <w:rFonts w:hint="eastAsia" w:ascii="仿宋_GB2312" w:hAnsi="仿宋_GB2312" w:cs="仿宋_GB2312"/>
                <w:sz w:val="21"/>
                <w:szCs w:val="21"/>
              </w:rPr>
              <w:t>新能源汽车电学与高压安全</w:t>
            </w:r>
          </w:p>
        </w:tc>
        <w:tc>
          <w:tcPr>
            <w:tcW w:w="5480" w:type="dxa"/>
            <w:vAlign w:val="center"/>
          </w:tcPr>
          <w:p>
            <w:pPr>
              <w:jc w:val="left"/>
              <w:rPr>
                <w:rFonts w:ascii="仿宋_GB2312" w:hAnsi="仿宋_GB2312" w:cs="仿宋_GB2312"/>
                <w:sz w:val="21"/>
                <w:szCs w:val="21"/>
              </w:rPr>
            </w:pPr>
            <w:r>
              <w:rPr>
                <w:rFonts w:hint="eastAsia" w:ascii="仿宋_GB2312" w:hAnsi="仿宋_GB2312" w:cs="仿宋_GB2312"/>
                <w:sz w:val="21"/>
                <w:szCs w:val="21"/>
              </w:rPr>
              <w:t>主要以吉利EV450为案例，学习电学与高压安全基础知识、新能源汽车常用仪器仪表的使用、新能源汽车高压系统认知、新能源汽车高压安全检测、高压安全事故应急处理以及设备的使用情况。</w:t>
            </w:r>
          </w:p>
        </w:tc>
        <w:tc>
          <w:tcPr>
            <w:tcW w:w="1208" w:type="dxa"/>
            <w:vAlign w:val="center"/>
          </w:tcPr>
          <w:p>
            <w:pPr>
              <w:jc w:val="center"/>
              <w:rPr>
                <w:rFonts w:ascii="仿宋_GB2312" w:hAnsi="仿宋_GB2312" w:cs="仿宋_GB2312"/>
                <w:sz w:val="21"/>
                <w:szCs w:val="21"/>
              </w:rPr>
            </w:pPr>
            <w:r>
              <w:rPr>
                <w:rFonts w:hint="eastAsia" w:ascii="仿宋_GB2312" w:hAnsi="仿宋_GB2312" w:cs="仿宋_GB2312"/>
                <w:sz w:val="21"/>
                <w:szCs w:val="21"/>
              </w:rPr>
              <w:t>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787" w:type="dxa"/>
            <w:vAlign w:val="center"/>
          </w:tcPr>
          <w:p>
            <w:pPr>
              <w:jc w:val="center"/>
              <w:rPr>
                <w:rFonts w:ascii="仿宋_GB2312" w:hAnsi="仿宋_GB2312" w:cs="仿宋_GB2312"/>
                <w:sz w:val="21"/>
                <w:szCs w:val="21"/>
              </w:rPr>
            </w:pPr>
            <w:r>
              <w:rPr>
                <w:rFonts w:hint="eastAsia" w:ascii="仿宋_GB2312" w:hAnsi="仿宋_GB2312" w:cs="仿宋_GB2312"/>
                <w:sz w:val="21"/>
                <w:szCs w:val="21"/>
              </w:rPr>
              <w:t>3</w:t>
            </w:r>
          </w:p>
        </w:tc>
        <w:tc>
          <w:tcPr>
            <w:tcW w:w="1813" w:type="dxa"/>
            <w:shd w:val="clear" w:color="auto" w:fill="FFFFFF"/>
            <w:vAlign w:val="center"/>
          </w:tcPr>
          <w:p>
            <w:pPr>
              <w:jc w:val="center"/>
              <w:rPr>
                <w:rFonts w:ascii="仿宋_GB2312" w:hAnsi="仿宋_GB2312" w:cs="仿宋_GB2312"/>
                <w:sz w:val="21"/>
                <w:szCs w:val="21"/>
              </w:rPr>
            </w:pPr>
            <w:r>
              <w:rPr>
                <w:rFonts w:hint="eastAsia" w:ascii="仿宋_GB2312" w:hAnsi="仿宋_GB2312" w:cs="仿宋_GB2312"/>
                <w:sz w:val="21"/>
                <w:szCs w:val="21"/>
              </w:rPr>
              <w:t>新能源汽车电气技术</w:t>
            </w:r>
          </w:p>
        </w:tc>
        <w:tc>
          <w:tcPr>
            <w:tcW w:w="5480" w:type="dxa"/>
            <w:shd w:val="clear" w:color="auto" w:fill="FFFFFF"/>
            <w:vAlign w:val="center"/>
          </w:tcPr>
          <w:p>
            <w:pPr>
              <w:jc w:val="left"/>
              <w:rPr>
                <w:rFonts w:ascii="仿宋_GB2312" w:hAnsi="仿宋_GB2312" w:cs="仿宋_GB2312"/>
                <w:sz w:val="21"/>
                <w:szCs w:val="21"/>
              </w:rPr>
            </w:pPr>
            <w:r>
              <w:rPr>
                <w:rFonts w:ascii="仿宋_GB2312" w:hAnsi="仿宋_GB2312" w:cs="仿宋_GB2312"/>
                <w:sz w:val="21"/>
                <w:szCs w:val="21"/>
              </w:rPr>
              <w:t>以</w:t>
            </w:r>
            <w:r>
              <w:rPr>
                <w:rFonts w:hint="eastAsia" w:ascii="仿宋_GB2312" w:hAnsi="仿宋_GB2312" w:cs="仿宋_GB2312"/>
                <w:sz w:val="21"/>
                <w:szCs w:val="21"/>
              </w:rPr>
              <w:t>吉利EV450为案例，主要学习新能源汽车维修基础、新能源汽车低压电源分配系统、新能源汽车电动化系统、新能源汽车充电系统、新能源汽车暖风和空调系统、新能源汽车通讯系统等内容。</w:t>
            </w:r>
          </w:p>
        </w:tc>
        <w:tc>
          <w:tcPr>
            <w:tcW w:w="1208" w:type="dxa"/>
            <w:vAlign w:val="center"/>
          </w:tcPr>
          <w:p>
            <w:pPr>
              <w:jc w:val="center"/>
              <w:rPr>
                <w:rFonts w:ascii="仿宋_GB2312" w:hAnsi="仿宋_GB2312" w:cs="仿宋_GB2312"/>
                <w:sz w:val="21"/>
                <w:szCs w:val="21"/>
              </w:rPr>
            </w:pPr>
            <w:r>
              <w:rPr>
                <w:rFonts w:hint="eastAsia" w:ascii="仿宋_GB2312" w:hAnsi="仿宋_GB2312" w:cs="仿宋_GB2312"/>
                <w:sz w:val="21"/>
                <w:szCs w:val="21"/>
              </w:rPr>
              <w:t>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7" w:type="dxa"/>
            <w:vAlign w:val="center"/>
          </w:tcPr>
          <w:p>
            <w:pPr>
              <w:jc w:val="center"/>
              <w:rPr>
                <w:rFonts w:ascii="仿宋_GB2312" w:hAnsi="仿宋_GB2312" w:cs="仿宋_GB2312"/>
                <w:sz w:val="21"/>
                <w:szCs w:val="21"/>
              </w:rPr>
            </w:pPr>
            <w:r>
              <w:rPr>
                <w:rFonts w:hint="eastAsia" w:ascii="仿宋_GB2312" w:hAnsi="仿宋_GB2312" w:cs="仿宋_GB2312"/>
                <w:sz w:val="21"/>
                <w:szCs w:val="21"/>
              </w:rPr>
              <w:t>4</w:t>
            </w:r>
          </w:p>
        </w:tc>
        <w:tc>
          <w:tcPr>
            <w:tcW w:w="1813" w:type="dxa"/>
            <w:vAlign w:val="center"/>
          </w:tcPr>
          <w:p>
            <w:pPr>
              <w:jc w:val="center"/>
              <w:rPr>
                <w:rFonts w:ascii="仿宋_GB2312" w:hAnsi="仿宋_GB2312" w:cs="仿宋_GB2312"/>
                <w:sz w:val="21"/>
                <w:szCs w:val="21"/>
              </w:rPr>
            </w:pPr>
            <w:r>
              <w:rPr>
                <w:rFonts w:hint="eastAsia" w:ascii="仿宋_GB2312" w:hAnsi="仿宋_GB2312" w:cs="仿宋_GB2312"/>
                <w:sz w:val="21"/>
                <w:szCs w:val="21"/>
              </w:rPr>
              <w:t>动力电池管理及维护</w:t>
            </w:r>
          </w:p>
        </w:tc>
        <w:tc>
          <w:tcPr>
            <w:tcW w:w="5480" w:type="dxa"/>
            <w:vAlign w:val="center"/>
          </w:tcPr>
          <w:p>
            <w:pPr>
              <w:jc w:val="left"/>
              <w:rPr>
                <w:rFonts w:ascii="仿宋_GB2312" w:hAnsi="仿宋_GB2312" w:cs="仿宋_GB2312"/>
                <w:sz w:val="21"/>
                <w:szCs w:val="21"/>
              </w:rPr>
            </w:pPr>
            <w:r>
              <w:rPr>
                <w:rFonts w:ascii="仿宋_GB2312" w:hAnsi="仿宋_GB2312" w:cs="仿宋_GB2312"/>
                <w:sz w:val="21"/>
                <w:szCs w:val="21"/>
              </w:rPr>
              <w:t>学习动力电池、电池管理系统、动力电池状态实时检测、动力电池的安全保护、动力电池的</w:t>
            </w:r>
            <w:r>
              <w:rPr>
                <w:rFonts w:hint="eastAsia" w:ascii="仿宋_GB2312" w:hAnsi="仿宋_GB2312" w:cs="仿宋_GB2312"/>
                <w:sz w:val="21"/>
                <w:szCs w:val="21"/>
              </w:rPr>
              <w:t>SOC评估和SOH评估、动力电池的均衡控制、动力电池的信息管理、热管理系统、动力电池的使用与维护等。</w:t>
            </w:r>
          </w:p>
        </w:tc>
        <w:tc>
          <w:tcPr>
            <w:tcW w:w="1208" w:type="dxa"/>
            <w:vAlign w:val="center"/>
          </w:tcPr>
          <w:p>
            <w:pPr>
              <w:jc w:val="center"/>
              <w:rPr>
                <w:rFonts w:ascii="仿宋_GB2312" w:hAnsi="仿宋_GB2312" w:cs="仿宋_GB2312"/>
                <w:sz w:val="21"/>
                <w:szCs w:val="21"/>
              </w:rPr>
            </w:pPr>
            <w:r>
              <w:rPr>
                <w:rFonts w:hint="eastAsia" w:ascii="仿宋_GB2312" w:hAnsi="仿宋_GB2312" w:cs="仿宋_GB2312"/>
                <w:sz w:val="21"/>
                <w:szCs w:val="21"/>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7" w:type="dxa"/>
            <w:vAlign w:val="center"/>
          </w:tcPr>
          <w:p>
            <w:pPr>
              <w:jc w:val="center"/>
              <w:rPr>
                <w:rFonts w:ascii="仿宋_GB2312" w:hAnsi="仿宋_GB2312" w:cs="仿宋_GB2312"/>
                <w:sz w:val="21"/>
                <w:szCs w:val="21"/>
              </w:rPr>
            </w:pPr>
            <w:r>
              <w:rPr>
                <w:rFonts w:hint="eastAsia" w:ascii="仿宋_GB2312" w:hAnsi="仿宋_GB2312" w:cs="仿宋_GB2312"/>
                <w:sz w:val="21"/>
                <w:szCs w:val="21"/>
              </w:rPr>
              <w:t>5</w:t>
            </w:r>
          </w:p>
        </w:tc>
        <w:tc>
          <w:tcPr>
            <w:tcW w:w="1813" w:type="dxa"/>
            <w:vAlign w:val="center"/>
          </w:tcPr>
          <w:p>
            <w:pPr>
              <w:jc w:val="center"/>
              <w:rPr>
                <w:rFonts w:ascii="仿宋_GB2312" w:hAnsi="仿宋_GB2312" w:cs="仿宋_GB2312"/>
                <w:sz w:val="21"/>
                <w:szCs w:val="21"/>
              </w:rPr>
            </w:pPr>
            <w:r>
              <w:rPr>
                <w:rFonts w:hint="eastAsia" w:ascii="仿宋_GB2312" w:hAnsi="仿宋_GB2312" w:cs="仿宋_GB2312"/>
                <w:sz w:val="21"/>
                <w:szCs w:val="21"/>
              </w:rPr>
              <w:t>新能源汽车维护技术</w:t>
            </w:r>
          </w:p>
        </w:tc>
        <w:tc>
          <w:tcPr>
            <w:tcW w:w="5480" w:type="dxa"/>
            <w:vAlign w:val="center"/>
          </w:tcPr>
          <w:p>
            <w:pPr>
              <w:jc w:val="left"/>
              <w:rPr>
                <w:rFonts w:ascii="仿宋_GB2312" w:hAnsi="仿宋_GB2312" w:cs="仿宋_GB2312"/>
                <w:sz w:val="21"/>
                <w:szCs w:val="21"/>
              </w:rPr>
            </w:pPr>
            <w:r>
              <w:rPr>
                <w:rFonts w:ascii="仿宋_GB2312" w:hAnsi="仿宋_GB2312" w:cs="仿宋_GB2312"/>
                <w:sz w:val="21"/>
                <w:szCs w:val="21"/>
              </w:rPr>
              <w:t>以吉利</w:t>
            </w:r>
            <w:r>
              <w:rPr>
                <w:rFonts w:hint="eastAsia" w:ascii="仿宋_GB2312" w:hAnsi="仿宋_GB2312" w:cs="仿宋_GB2312"/>
                <w:sz w:val="21"/>
                <w:szCs w:val="21"/>
              </w:rPr>
              <w:t>EV450为例，主要内容包括新能源汽车维护基础知识、新能源汽车维护工艺规范、新能源汽车结构和维护项目。要求学生熟悉掌握新能源汽车安全要求、设备使用等具体问题</w:t>
            </w:r>
          </w:p>
        </w:tc>
        <w:tc>
          <w:tcPr>
            <w:tcW w:w="1208" w:type="dxa"/>
            <w:vAlign w:val="center"/>
          </w:tcPr>
          <w:p>
            <w:pPr>
              <w:jc w:val="center"/>
              <w:rPr>
                <w:rFonts w:ascii="仿宋_GB2312" w:hAnsi="仿宋_GB2312" w:cs="仿宋_GB2312"/>
                <w:sz w:val="21"/>
                <w:szCs w:val="21"/>
              </w:rPr>
            </w:pPr>
            <w:r>
              <w:rPr>
                <w:rFonts w:hint="eastAsia" w:ascii="仿宋_GB2312" w:hAnsi="仿宋_GB2312" w:cs="仿宋_GB2312"/>
                <w:sz w:val="21"/>
                <w:szCs w:val="21"/>
              </w:rPr>
              <w:t>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7" w:type="dxa"/>
            <w:vAlign w:val="center"/>
          </w:tcPr>
          <w:p>
            <w:pPr>
              <w:jc w:val="center"/>
              <w:rPr>
                <w:rFonts w:ascii="仿宋_GB2312" w:hAnsi="仿宋_GB2312" w:cs="仿宋_GB2312"/>
                <w:sz w:val="21"/>
                <w:szCs w:val="21"/>
              </w:rPr>
            </w:pPr>
            <w:r>
              <w:rPr>
                <w:rFonts w:hint="eastAsia" w:ascii="仿宋_GB2312" w:hAnsi="仿宋_GB2312" w:cs="仿宋_GB2312"/>
                <w:sz w:val="21"/>
                <w:szCs w:val="21"/>
              </w:rPr>
              <w:t>6</w:t>
            </w:r>
          </w:p>
        </w:tc>
        <w:tc>
          <w:tcPr>
            <w:tcW w:w="1813" w:type="dxa"/>
            <w:vAlign w:val="center"/>
          </w:tcPr>
          <w:p>
            <w:pPr>
              <w:jc w:val="center"/>
              <w:rPr>
                <w:rFonts w:ascii="仿宋_GB2312" w:hAnsi="仿宋_GB2312" w:cs="仿宋_GB2312"/>
                <w:sz w:val="21"/>
                <w:szCs w:val="21"/>
              </w:rPr>
            </w:pPr>
            <w:r>
              <w:rPr>
                <w:rFonts w:hint="eastAsia" w:ascii="仿宋_GB2312" w:hAnsi="仿宋_GB2312" w:cs="仿宋_GB2312"/>
                <w:sz w:val="21"/>
                <w:szCs w:val="21"/>
              </w:rPr>
              <w:t>驱动电机与控制</w:t>
            </w:r>
          </w:p>
        </w:tc>
        <w:tc>
          <w:tcPr>
            <w:tcW w:w="5480" w:type="dxa"/>
            <w:vAlign w:val="center"/>
          </w:tcPr>
          <w:p>
            <w:pPr>
              <w:jc w:val="left"/>
              <w:rPr>
                <w:rFonts w:ascii="仿宋_GB2312" w:hAnsi="仿宋_GB2312" w:cs="仿宋_GB2312"/>
                <w:sz w:val="21"/>
                <w:szCs w:val="21"/>
              </w:rPr>
            </w:pPr>
            <w:r>
              <w:rPr>
                <w:rFonts w:ascii="仿宋_GB2312" w:hAnsi="仿宋_GB2312" w:cs="仿宋_GB2312"/>
                <w:sz w:val="21"/>
                <w:szCs w:val="21"/>
              </w:rPr>
              <w:t>主要学习四大部分的内容，新能源汽车的概述、新能源汽车的动力性和能量经济性、电动汽车车用电机、车用电机控制技术，要求学生掌握的是车用电动的基本结构类型。</w:t>
            </w:r>
          </w:p>
        </w:tc>
        <w:tc>
          <w:tcPr>
            <w:tcW w:w="1208" w:type="dxa"/>
            <w:vAlign w:val="center"/>
          </w:tcPr>
          <w:p>
            <w:pPr>
              <w:jc w:val="center"/>
              <w:rPr>
                <w:rFonts w:ascii="仿宋_GB2312" w:hAnsi="仿宋_GB2312" w:cs="仿宋_GB2312"/>
                <w:sz w:val="21"/>
                <w:szCs w:val="21"/>
              </w:rPr>
            </w:pPr>
            <w:r>
              <w:rPr>
                <w:rFonts w:hint="eastAsia" w:ascii="仿宋_GB2312" w:hAnsi="仿宋_GB2312" w:cs="仿宋_GB2312"/>
                <w:sz w:val="21"/>
                <w:szCs w:val="21"/>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7" w:type="dxa"/>
            <w:vAlign w:val="center"/>
          </w:tcPr>
          <w:p>
            <w:pPr>
              <w:jc w:val="center"/>
              <w:rPr>
                <w:rFonts w:ascii="仿宋_GB2312" w:hAnsi="仿宋_GB2312" w:cs="仿宋_GB2312"/>
                <w:sz w:val="21"/>
                <w:szCs w:val="21"/>
              </w:rPr>
            </w:pPr>
            <w:r>
              <w:rPr>
                <w:rFonts w:hint="eastAsia" w:ascii="仿宋_GB2312" w:hAnsi="仿宋_GB2312" w:cs="仿宋_GB2312"/>
                <w:sz w:val="21"/>
                <w:szCs w:val="21"/>
              </w:rPr>
              <w:t>7</w:t>
            </w:r>
          </w:p>
        </w:tc>
        <w:tc>
          <w:tcPr>
            <w:tcW w:w="1813" w:type="dxa"/>
            <w:vAlign w:val="center"/>
          </w:tcPr>
          <w:p>
            <w:pPr>
              <w:jc w:val="center"/>
              <w:rPr>
                <w:rFonts w:ascii="仿宋_GB2312" w:hAnsi="仿宋_GB2312" w:cs="仿宋_GB2312"/>
                <w:sz w:val="21"/>
                <w:szCs w:val="21"/>
              </w:rPr>
            </w:pPr>
            <w:r>
              <w:rPr>
                <w:rFonts w:hint="eastAsia" w:ascii="仿宋_GB2312" w:hAnsi="仿宋_GB2312" w:cs="仿宋_GB2312"/>
                <w:sz w:val="21"/>
                <w:szCs w:val="21"/>
              </w:rPr>
              <w:t>新能源汽车空调与技术</w:t>
            </w:r>
          </w:p>
        </w:tc>
        <w:tc>
          <w:tcPr>
            <w:tcW w:w="5480" w:type="dxa"/>
            <w:vAlign w:val="center"/>
          </w:tcPr>
          <w:p>
            <w:pPr>
              <w:jc w:val="left"/>
              <w:rPr>
                <w:rFonts w:ascii="仿宋_GB2312" w:hAnsi="仿宋_GB2312" w:cs="仿宋_GB2312"/>
                <w:sz w:val="21"/>
                <w:szCs w:val="21"/>
              </w:rPr>
            </w:pPr>
            <w:r>
              <w:rPr>
                <w:rFonts w:ascii="仿宋_GB2312" w:hAnsi="仿宋_GB2312" w:cs="仿宋_GB2312"/>
                <w:sz w:val="21"/>
                <w:szCs w:val="21"/>
              </w:rPr>
              <w:t>主要包括新能源汽车电动空调基础知识、新能源汽车空调检测与维修、空调系统的故障诊断与排除，要求学生掌握新能源汽车空调维护与检修、制冷系统和暖风系统维护与检修、电气系统与非电气系统故障诊断与检修等内容。</w:t>
            </w:r>
          </w:p>
        </w:tc>
        <w:tc>
          <w:tcPr>
            <w:tcW w:w="1208" w:type="dxa"/>
            <w:vAlign w:val="center"/>
          </w:tcPr>
          <w:p>
            <w:pPr>
              <w:jc w:val="center"/>
              <w:rPr>
                <w:rFonts w:ascii="仿宋_GB2312" w:hAnsi="仿宋_GB2312" w:cs="仿宋_GB2312"/>
                <w:sz w:val="21"/>
                <w:szCs w:val="21"/>
              </w:rPr>
            </w:pPr>
            <w:r>
              <w:rPr>
                <w:rFonts w:hint="eastAsia" w:ascii="仿宋_GB2312" w:hAnsi="仿宋_GB2312" w:cs="仿宋_GB2312"/>
                <w:sz w:val="21"/>
                <w:szCs w:val="21"/>
              </w:rPr>
              <w:t>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7" w:type="dxa"/>
            <w:vAlign w:val="center"/>
          </w:tcPr>
          <w:p>
            <w:pPr>
              <w:jc w:val="center"/>
              <w:rPr>
                <w:rFonts w:ascii="仿宋_GB2312" w:hAnsi="仿宋_GB2312" w:cs="仿宋_GB2312"/>
                <w:sz w:val="21"/>
                <w:szCs w:val="21"/>
              </w:rPr>
            </w:pPr>
            <w:r>
              <w:rPr>
                <w:rFonts w:hint="eastAsia" w:ascii="仿宋_GB2312" w:hAnsi="仿宋_GB2312" w:cs="仿宋_GB2312"/>
                <w:sz w:val="21"/>
                <w:szCs w:val="21"/>
              </w:rPr>
              <w:t>8</w:t>
            </w:r>
          </w:p>
        </w:tc>
        <w:tc>
          <w:tcPr>
            <w:tcW w:w="1813" w:type="dxa"/>
            <w:vAlign w:val="center"/>
          </w:tcPr>
          <w:p>
            <w:pPr>
              <w:jc w:val="center"/>
              <w:rPr>
                <w:rFonts w:ascii="仿宋_GB2312" w:hAnsi="仿宋_GB2312" w:cs="仿宋_GB2312"/>
                <w:sz w:val="21"/>
                <w:szCs w:val="21"/>
              </w:rPr>
            </w:pPr>
            <w:r>
              <w:rPr>
                <w:rFonts w:hint="eastAsia" w:ascii="仿宋_GB2312" w:hAnsi="仿宋_GB2312" w:cs="仿宋_GB2312"/>
                <w:sz w:val="21"/>
                <w:szCs w:val="21"/>
              </w:rPr>
              <w:t>新能源汽车运用技术</w:t>
            </w:r>
          </w:p>
        </w:tc>
        <w:tc>
          <w:tcPr>
            <w:tcW w:w="5480" w:type="dxa"/>
            <w:vAlign w:val="center"/>
          </w:tcPr>
          <w:p>
            <w:pPr>
              <w:jc w:val="left"/>
              <w:rPr>
                <w:rFonts w:ascii="仿宋_GB2312" w:hAnsi="仿宋_GB2312" w:cs="仿宋_GB2312"/>
                <w:sz w:val="21"/>
                <w:szCs w:val="21"/>
              </w:rPr>
            </w:pPr>
            <w:r>
              <w:rPr>
                <w:rFonts w:ascii="仿宋_GB2312" w:hAnsi="仿宋_GB2312" w:cs="仿宋_GB2312"/>
                <w:sz w:val="21"/>
                <w:szCs w:val="21"/>
              </w:rPr>
              <w:t>主要内容包括新能源汽车的各种技术路线介绍，电动汽车电动机驱动控制系统、新能源汽车的维修与保养、新能源汽车其他已经应用的新技术等。</w:t>
            </w:r>
          </w:p>
        </w:tc>
        <w:tc>
          <w:tcPr>
            <w:tcW w:w="1208" w:type="dxa"/>
            <w:vAlign w:val="center"/>
          </w:tcPr>
          <w:p>
            <w:pPr>
              <w:jc w:val="center"/>
              <w:rPr>
                <w:rFonts w:ascii="仿宋_GB2312" w:hAnsi="仿宋_GB2312" w:cs="仿宋_GB2312"/>
                <w:sz w:val="21"/>
                <w:szCs w:val="21"/>
              </w:rPr>
            </w:pPr>
            <w:r>
              <w:rPr>
                <w:rFonts w:hint="eastAsia" w:ascii="仿宋_GB2312" w:hAnsi="仿宋_GB2312" w:cs="仿宋_GB2312"/>
                <w:sz w:val="21"/>
                <w:szCs w:val="21"/>
              </w:rPr>
              <w:t>144</w:t>
            </w:r>
          </w:p>
        </w:tc>
      </w:tr>
    </w:tbl>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hAnsi="仿宋_GB2312" w:cs="仿宋_GB2312"/>
          <w:sz w:val="21"/>
          <w:szCs w:val="21"/>
        </w:rPr>
      </w:pPr>
      <w:r>
        <w:rPr>
          <w:rFonts w:hint="eastAsia" w:ascii="仿宋_GB2312" w:hAnsi="仿宋_GB2312" w:cs="仿宋_GB2312"/>
          <w:sz w:val="21"/>
          <w:szCs w:val="21"/>
        </w:rPr>
        <w:t>表7  专业技能方向1课程一览表</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bookmarkStart w:id="69" w:name="_Toc25518"/>
      <w:bookmarkStart w:id="70" w:name="_Toc15735"/>
      <w:r>
        <w:rPr>
          <w:rFonts w:hint="eastAsia" w:ascii="仿宋_GB2312" w:hAnsi="仿宋_GB2312" w:cs="仿宋_GB2312"/>
          <w:sz w:val="28"/>
          <w:szCs w:val="28"/>
        </w:rPr>
        <w:t>（3）专业选修课</w:t>
      </w:r>
      <w:bookmarkEnd w:id="69"/>
      <w:bookmarkEnd w:id="70"/>
      <w:r>
        <w:rPr>
          <w:rFonts w:hint="eastAsia" w:ascii="仿宋_GB2312" w:hAnsi="仿宋_GB2312" w:cs="仿宋_GB2312"/>
          <w:sz w:val="28"/>
          <w:szCs w:val="28"/>
        </w:rPr>
        <w:t>（4选2）</w:t>
      </w:r>
    </w:p>
    <w:tbl>
      <w:tblPr>
        <w:tblStyle w:val="18"/>
        <w:tblW w:w="92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793"/>
        <w:gridCol w:w="1789"/>
        <w:gridCol w:w="5416"/>
        <w:gridCol w:w="1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88" w:hRule="atLeast"/>
          <w:tblHeader/>
          <w:jc w:val="center"/>
        </w:trPr>
        <w:tc>
          <w:tcPr>
            <w:tcW w:w="793" w:type="dxa"/>
            <w:vAlign w:val="center"/>
          </w:tcPr>
          <w:p>
            <w:pPr>
              <w:jc w:val="center"/>
              <w:rPr>
                <w:rFonts w:ascii="仿宋_GB2312" w:hAnsi="仿宋_GB2312" w:cs="仿宋_GB2312"/>
                <w:sz w:val="21"/>
                <w:szCs w:val="21"/>
              </w:rPr>
            </w:pPr>
            <w:r>
              <w:rPr>
                <w:rFonts w:hint="eastAsia" w:ascii="仿宋_GB2312" w:hAnsi="仿宋_GB2312" w:cs="仿宋_GB2312"/>
                <w:sz w:val="21"/>
                <w:szCs w:val="21"/>
              </w:rPr>
              <w:t>序号</w:t>
            </w:r>
          </w:p>
        </w:tc>
        <w:tc>
          <w:tcPr>
            <w:tcW w:w="1789" w:type="dxa"/>
            <w:vAlign w:val="center"/>
          </w:tcPr>
          <w:p>
            <w:pPr>
              <w:jc w:val="center"/>
              <w:rPr>
                <w:rFonts w:ascii="仿宋_GB2312" w:hAnsi="仿宋_GB2312" w:cs="仿宋_GB2312"/>
                <w:sz w:val="21"/>
                <w:szCs w:val="21"/>
              </w:rPr>
            </w:pPr>
            <w:r>
              <w:rPr>
                <w:rFonts w:hint="eastAsia" w:ascii="仿宋_GB2312" w:hAnsi="仿宋_GB2312" w:cs="仿宋_GB2312"/>
                <w:sz w:val="21"/>
                <w:szCs w:val="21"/>
              </w:rPr>
              <w:t>课程名称</w:t>
            </w:r>
          </w:p>
        </w:tc>
        <w:tc>
          <w:tcPr>
            <w:tcW w:w="5416" w:type="dxa"/>
            <w:vAlign w:val="center"/>
          </w:tcPr>
          <w:p>
            <w:pPr>
              <w:jc w:val="center"/>
              <w:rPr>
                <w:rFonts w:ascii="仿宋_GB2312" w:hAnsi="仿宋_GB2312" w:cs="仿宋_GB2312"/>
                <w:sz w:val="21"/>
                <w:szCs w:val="21"/>
              </w:rPr>
            </w:pPr>
            <w:r>
              <w:rPr>
                <w:rFonts w:hint="eastAsia" w:ascii="仿宋_GB2312" w:hAnsi="仿宋_GB2312" w:cs="仿宋_GB2312"/>
                <w:sz w:val="21"/>
                <w:szCs w:val="21"/>
              </w:rPr>
              <w:t>主要教学内容和要求</w:t>
            </w:r>
          </w:p>
        </w:tc>
        <w:tc>
          <w:tcPr>
            <w:tcW w:w="1290" w:type="dxa"/>
            <w:vAlign w:val="center"/>
          </w:tcPr>
          <w:p>
            <w:pPr>
              <w:jc w:val="center"/>
              <w:rPr>
                <w:rFonts w:ascii="仿宋_GB2312" w:hAnsi="仿宋_GB2312" w:cs="仿宋_GB2312"/>
                <w:sz w:val="21"/>
                <w:szCs w:val="21"/>
              </w:rPr>
            </w:pPr>
            <w:r>
              <w:rPr>
                <w:rFonts w:hint="eastAsia" w:ascii="仿宋_GB2312" w:hAnsi="仿宋_GB2312" w:cs="仿宋_GB2312"/>
                <w:sz w:val="21"/>
                <w:szCs w:val="21"/>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90" w:hRule="atLeast"/>
          <w:jc w:val="center"/>
        </w:trPr>
        <w:tc>
          <w:tcPr>
            <w:tcW w:w="793" w:type="dxa"/>
            <w:vAlign w:val="center"/>
          </w:tcPr>
          <w:p>
            <w:pPr>
              <w:jc w:val="center"/>
              <w:rPr>
                <w:rFonts w:ascii="仿宋_GB2312" w:hAnsi="仿宋_GB2312" w:cs="仿宋_GB2312"/>
                <w:sz w:val="21"/>
                <w:szCs w:val="21"/>
              </w:rPr>
            </w:pPr>
            <w:r>
              <w:rPr>
                <w:rFonts w:hint="eastAsia" w:ascii="仿宋_GB2312" w:hAnsi="仿宋_GB2312" w:cs="仿宋_GB2312"/>
                <w:sz w:val="21"/>
                <w:szCs w:val="21"/>
              </w:rPr>
              <w:t>1</w:t>
            </w:r>
          </w:p>
        </w:tc>
        <w:tc>
          <w:tcPr>
            <w:tcW w:w="1789" w:type="dxa"/>
            <w:vAlign w:val="center"/>
          </w:tcPr>
          <w:p>
            <w:pPr>
              <w:jc w:val="center"/>
              <w:rPr>
                <w:rFonts w:ascii="仿宋_GB2312" w:hAnsi="仿宋_GB2312" w:cs="仿宋_GB2312"/>
                <w:sz w:val="21"/>
                <w:szCs w:val="21"/>
              </w:rPr>
            </w:pPr>
            <w:r>
              <w:rPr>
                <w:rFonts w:hint="eastAsia" w:ascii="仿宋_GB2312" w:hAnsi="仿宋_GB2312" w:cs="仿宋_GB2312"/>
                <w:sz w:val="21"/>
                <w:szCs w:val="21"/>
              </w:rPr>
              <w:t>汽车机械识图</w:t>
            </w:r>
          </w:p>
        </w:tc>
        <w:tc>
          <w:tcPr>
            <w:tcW w:w="5416" w:type="dxa"/>
            <w:vAlign w:val="center"/>
          </w:tcPr>
          <w:p>
            <w:pPr>
              <w:rPr>
                <w:rFonts w:ascii="仿宋_GB2312" w:hAnsi="仿宋_GB2312" w:cs="仿宋_GB2312"/>
                <w:sz w:val="21"/>
                <w:szCs w:val="21"/>
              </w:rPr>
            </w:pPr>
            <w:r>
              <w:rPr>
                <w:rFonts w:hint="eastAsia" w:ascii="Calibri" w:hAnsi="Calibri"/>
                <w:sz w:val="21"/>
                <w:szCs w:val="21"/>
              </w:rPr>
              <w:t>学习正投影的基本原理、图示方法和国家制图标准。使学生具有一定的空间想象能力，能正确阅读中等复杂程度的零件图和装配图，能够绘制简单的零件图，具有使用常用绘图工具绘制草图的基本技能。</w:t>
            </w:r>
          </w:p>
        </w:tc>
        <w:tc>
          <w:tcPr>
            <w:tcW w:w="1290" w:type="dxa"/>
            <w:vAlign w:val="center"/>
          </w:tcPr>
          <w:p>
            <w:pPr>
              <w:jc w:val="center"/>
              <w:rPr>
                <w:rFonts w:ascii="仿宋_GB2312" w:hAnsi="仿宋_GB2312" w:cs="仿宋_GB2312"/>
                <w:sz w:val="21"/>
                <w:szCs w:val="21"/>
              </w:rPr>
            </w:pPr>
            <w:r>
              <w:rPr>
                <w:rFonts w:hint="eastAsia" w:ascii="仿宋_GB2312" w:hAnsi="仿宋_GB2312" w:cs="仿宋_GB2312"/>
                <w:sz w:val="21"/>
                <w:szCs w:val="21"/>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53" w:hRule="atLeast"/>
          <w:jc w:val="center"/>
        </w:trPr>
        <w:tc>
          <w:tcPr>
            <w:tcW w:w="793" w:type="dxa"/>
            <w:vAlign w:val="center"/>
          </w:tcPr>
          <w:p>
            <w:pPr>
              <w:jc w:val="center"/>
              <w:rPr>
                <w:rFonts w:ascii="仿宋_GB2312" w:hAnsi="仿宋_GB2312" w:cs="仿宋_GB2312"/>
                <w:sz w:val="21"/>
                <w:szCs w:val="21"/>
              </w:rPr>
            </w:pPr>
            <w:r>
              <w:rPr>
                <w:rFonts w:hint="eastAsia" w:ascii="仿宋_GB2312" w:hAnsi="仿宋_GB2312" w:cs="仿宋_GB2312"/>
                <w:sz w:val="21"/>
                <w:szCs w:val="21"/>
              </w:rPr>
              <w:t>2</w:t>
            </w:r>
          </w:p>
        </w:tc>
        <w:tc>
          <w:tcPr>
            <w:tcW w:w="1789" w:type="dxa"/>
            <w:vAlign w:val="center"/>
          </w:tcPr>
          <w:p>
            <w:pPr>
              <w:jc w:val="center"/>
              <w:rPr>
                <w:rFonts w:ascii="仿宋_GB2312" w:hAnsi="仿宋_GB2312" w:cs="仿宋_GB2312"/>
                <w:sz w:val="21"/>
                <w:szCs w:val="21"/>
              </w:rPr>
            </w:pPr>
            <w:r>
              <w:rPr>
                <w:rFonts w:hint="eastAsia" w:ascii="仿宋_GB2312" w:hAnsi="仿宋_GB2312" w:cs="仿宋_GB2312"/>
                <w:sz w:val="21"/>
                <w:szCs w:val="21"/>
              </w:rPr>
              <w:t>汽车保险与理赔</w:t>
            </w:r>
          </w:p>
        </w:tc>
        <w:tc>
          <w:tcPr>
            <w:tcW w:w="5416" w:type="dxa"/>
            <w:vAlign w:val="center"/>
          </w:tcPr>
          <w:p>
            <w:pPr>
              <w:rPr>
                <w:rFonts w:ascii="仿宋_GB2312" w:hAnsi="仿宋_GB2312" w:cs="仿宋_GB2312"/>
                <w:sz w:val="21"/>
                <w:szCs w:val="21"/>
              </w:rPr>
            </w:pPr>
            <w:r>
              <w:rPr>
                <w:rFonts w:hint="eastAsia" w:ascii="Calibri" w:hAnsi="Calibri"/>
                <w:sz w:val="21"/>
                <w:szCs w:val="21"/>
              </w:rPr>
              <w:t>了解汽车保险的含义和特点；了解汽车保险经营情况；了解汽车保险合同与原则；为将来从事汽车相关工作发展奠定基础。</w:t>
            </w:r>
          </w:p>
        </w:tc>
        <w:tc>
          <w:tcPr>
            <w:tcW w:w="1290" w:type="dxa"/>
            <w:vAlign w:val="center"/>
          </w:tcPr>
          <w:p>
            <w:pPr>
              <w:jc w:val="center"/>
              <w:rPr>
                <w:rFonts w:ascii="仿宋_GB2312" w:hAnsi="仿宋_GB2312" w:cs="仿宋_GB2312"/>
                <w:sz w:val="21"/>
                <w:szCs w:val="21"/>
              </w:rPr>
            </w:pPr>
            <w:r>
              <w:rPr>
                <w:rFonts w:hint="eastAsia" w:ascii="仿宋_GB2312" w:hAnsi="仿宋_GB2312" w:cs="仿宋_GB2312"/>
                <w:sz w:val="21"/>
                <w:szCs w:val="21"/>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90" w:hRule="atLeast"/>
          <w:jc w:val="center"/>
        </w:trPr>
        <w:tc>
          <w:tcPr>
            <w:tcW w:w="793" w:type="dxa"/>
            <w:vAlign w:val="center"/>
          </w:tcPr>
          <w:p>
            <w:pPr>
              <w:jc w:val="center"/>
              <w:rPr>
                <w:rFonts w:ascii="仿宋_GB2312" w:hAnsi="仿宋_GB2312" w:cs="仿宋_GB2312"/>
                <w:sz w:val="21"/>
                <w:szCs w:val="21"/>
              </w:rPr>
            </w:pPr>
            <w:r>
              <w:rPr>
                <w:rFonts w:hint="eastAsia" w:ascii="仿宋_GB2312" w:hAnsi="仿宋_GB2312" w:cs="仿宋_GB2312"/>
                <w:sz w:val="21"/>
                <w:szCs w:val="21"/>
              </w:rPr>
              <w:t>3</w:t>
            </w:r>
          </w:p>
        </w:tc>
        <w:tc>
          <w:tcPr>
            <w:tcW w:w="1789" w:type="dxa"/>
            <w:vAlign w:val="center"/>
          </w:tcPr>
          <w:p>
            <w:pPr>
              <w:jc w:val="center"/>
              <w:rPr>
                <w:rFonts w:ascii="仿宋_GB2312" w:hAnsi="仿宋_GB2312" w:cs="仿宋_GB2312"/>
                <w:sz w:val="21"/>
                <w:szCs w:val="21"/>
              </w:rPr>
            </w:pPr>
            <w:r>
              <w:rPr>
                <w:rFonts w:hint="eastAsia" w:ascii="仿宋_GB2312" w:hAnsi="仿宋_GB2312" w:cs="仿宋_GB2312"/>
                <w:sz w:val="21"/>
                <w:szCs w:val="21"/>
              </w:rPr>
              <w:t>商用车结构与检修</w:t>
            </w:r>
          </w:p>
        </w:tc>
        <w:tc>
          <w:tcPr>
            <w:tcW w:w="5416" w:type="dxa"/>
            <w:vAlign w:val="center"/>
          </w:tcPr>
          <w:p>
            <w:pPr>
              <w:jc w:val="left"/>
              <w:rPr>
                <w:rFonts w:ascii="仿宋_GB2312" w:hAnsi="仿宋_GB2312" w:cs="仿宋_GB2312"/>
                <w:sz w:val="21"/>
                <w:szCs w:val="21"/>
              </w:rPr>
            </w:pPr>
            <w:r>
              <w:rPr>
                <w:rFonts w:hint="eastAsia" w:ascii="仿宋_GB2312" w:hAnsi="仿宋_GB2312" w:cs="仿宋_GB2312"/>
                <w:sz w:val="21"/>
                <w:szCs w:val="21"/>
              </w:rPr>
              <w:t>在相关课程的基础上，了解燃气汽车、燃料电池汽车、纯电动汽车、液化石油气汽车、混合动力汽车的特点、类型；掌握常见新能源汽车的结构和工作原理；熟悉燃气汽车、纯电动汽车、混合动力汽车的检修流程；能使用专用工具、设备检测燃气汽车、纯电动汽车、混合动力汽车的动力总成。</w:t>
            </w:r>
          </w:p>
        </w:tc>
        <w:tc>
          <w:tcPr>
            <w:tcW w:w="1290" w:type="dxa"/>
            <w:vAlign w:val="center"/>
          </w:tcPr>
          <w:p>
            <w:pPr>
              <w:jc w:val="center"/>
              <w:rPr>
                <w:rFonts w:ascii="仿宋_GB2312" w:hAnsi="仿宋_GB2312" w:cs="仿宋_GB2312"/>
                <w:sz w:val="21"/>
                <w:szCs w:val="21"/>
              </w:rPr>
            </w:pPr>
            <w:r>
              <w:rPr>
                <w:rFonts w:hint="eastAsia" w:ascii="仿宋_GB2312" w:hAnsi="仿宋_GB2312" w:cs="仿宋_GB2312"/>
                <w:sz w:val="21"/>
                <w:szCs w:val="21"/>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90" w:hRule="atLeast"/>
          <w:jc w:val="center"/>
        </w:trPr>
        <w:tc>
          <w:tcPr>
            <w:tcW w:w="793" w:type="dxa"/>
            <w:vAlign w:val="center"/>
          </w:tcPr>
          <w:p>
            <w:pPr>
              <w:jc w:val="center"/>
              <w:rPr>
                <w:rFonts w:ascii="仿宋_GB2312" w:hAnsi="仿宋_GB2312" w:cs="仿宋_GB2312"/>
                <w:sz w:val="21"/>
                <w:szCs w:val="21"/>
              </w:rPr>
            </w:pPr>
            <w:r>
              <w:rPr>
                <w:rFonts w:hint="eastAsia" w:ascii="仿宋_GB2312" w:hAnsi="仿宋_GB2312" w:cs="仿宋_GB2312"/>
                <w:sz w:val="21"/>
                <w:szCs w:val="21"/>
              </w:rPr>
              <w:t>4</w:t>
            </w:r>
          </w:p>
        </w:tc>
        <w:tc>
          <w:tcPr>
            <w:tcW w:w="1789" w:type="dxa"/>
            <w:vAlign w:val="center"/>
          </w:tcPr>
          <w:p>
            <w:pPr>
              <w:jc w:val="center"/>
              <w:rPr>
                <w:rFonts w:ascii="仿宋_GB2312" w:hAnsi="仿宋_GB2312" w:cs="仿宋_GB2312"/>
                <w:sz w:val="21"/>
                <w:szCs w:val="21"/>
              </w:rPr>
            </w:pPr>
            <w:r>
              <w:rPr>
                <w:rFonts w:hint="eastAsia" w:ascii="仿宋_GB2312" w:hAnsi="仿宋_GB2312" w:cs="仿宋_GB2312"/>
                <w:sz w:val="21"/>
                <w:szCs w:val="21"/>
              </w:rPr>
              <w:t>汽车维修业务接待</w:t>
            </w:r>
          </w:p>
        </w:tc>
        <w:tc>
          <w:tcPr>
            <w:tcW w:w="5416" w:type="dxa"/>
            <w:vAlign w:val="center"/>
          </w:tcPr>
          <w:p>
            <w:pPr>
              <w:jc w:val="left"/>
              <w:rPr>
                <w:rFonts w:ascii="仿宋_GB2312" w:hAnsi="仿宋_GB2312" w:cs="仿宋_GB2312"/>
                <w:sz w:val="21"/>
                <w:szCs w:val="21"/>
              </w:rPr>
            </w:pPr>
            <w:r>
              <w:rPr>
                <w:rFonts w:hint="eastAsia" w:ascii="Calibri" w:hAnsi="Calibri"/>
                <w:sz w:val="21"/>
                <w:szCs w:val="21"/>
              </w:rPr>
              <w:t>了解汽车维修接待礼仪；汽车维修接待流程；汽车维修接待业务知识等；会接待维修客户；会判断大致维修服务项目；会填写派工单，组织安排生产；会预计维修时间和费用；会进行服务沟通；会进行客户结算。</w:t>
            </w:r>
          </w:p>
        </w:tc>
        <w:tc>
          <w:tcPr>
            <w:tcW w:w="1290" w:type="dxa"/>
            <w:vAlign w:val="center"/>
          </w:tcPr>
          <w:p>
            <w:pPr>
              <w:jc w:val="center"/>
              <w:rPr>
                <w:rFonts w:ascii="仿宋_GB2312" w:hAnsi="仿宋_GB2312" w:cs="仿宋_GB2312"/>
                <w:sz w:val="21"/>
                <w:szCs w:val="21"/>
              </w:rPr>
            </w:pPr>
            <w:r>
              <w:rPr>
                <w:rFonts w:hint="eastAsia" w:ascii="仿宋_GB2312" w:hAnsi="仿宋_GB2312" w:cs="仿宋_GB2312"/>
                <w:sz w:val="21"/>
                <w:szCs w:val="21"/>
              </w:rPr>
              <w:t>72</w:t>
            </w:r>
          </w:p>
        </w:tc>
      </w:tr>
    </w:tbl>
    <w:p>
      <w:pPr>
        <w:jc w:val="center"/>
        <w:rPr>
          <w:rFonts w:ascii="仿宋_GB2312" w:hAnsi="仿宋_GB2312" w:cs="仿宋_GB2312"/>
          <w:sz w:val="28"/>
          <w:szCs w:val="28"/>
        </w:rPr>
      </w:pPr>
      <w:bookmarkStart w:id="71" w:name="_Toc5028"/>
      <w:bookmarkStart w:id="72" w:name="_Toc20091"/>
      <w:bookmarkStart w:id="73" w:name="_Toc12645"/>
      <w:r>
        <w:rPr>
          <w:rFonts w:hint="eastAsia" w:ascii="仿宋_GB2312" w:hAnsi="仿宋_GB2312" w:cs="仿宋_GB2312"/>
          <w:sz w:val="21"/>
          <w:szCs w:val="21"/>
        </w:rPr>
        <w:t>表8 专业选修课程一览表</w:t>
      </w:r>
    </w:p>
    <w:p>
      <w:pPr>
        <w:ind w:firstLine="560" w:firstLineChars="200"/>
        <w:rPr>
          <w:rFonts w:ascii="仿宋_GB2312" w:hAnsi="仿宋_GB2312" w:cs="仿宋_GB2312"/>
          <w:sz w:val="28"/>
          <w:szCs w:val="28"/>
        </w:rPr>
      </w:pPr>
      <w:r>
        <w:rPr>
          <w:rFonts w:hint="eastAsia" w:ascii="仿宋_GB2312" w:hAnsi="仿宋_GB2312" w:cs="仿宋_GB2312"/>
          <w:sz w:val="28"/>
          <w:szCs w:val="28"/>
        </w:rPr>
        <w:t>（4）综合实训</w:t>
      </w:r>
      <w:bookmarkEnd w:id="71"/>
      <w:bookmarkEnd w:id="72"/>
      <w:bookmarkEnd w:id="73"/>
    </w:p>
    <w:tbl>
      <w:tblPr>
        <w:tblStyle w:val="18"/>
        <w:tblW w:w="92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70" w:type="dxa"/>
          <w:left w:w="108" w:type="dxa"/>
          <w:bottom w:w="170" w:type="dxa"/>
          <w:right w:w="108" w:type="dxa"/>
        </w:tblCellMar>
      </w:tblPr>
      <w:tblGrid>
        <w:gridCol w:w="801"/>
        <w:gridCol w:w="1799"/>
        <w:gridCol w:w="5398"/>
        <w:gridCol w:w="1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70" w:type="dxa"/>
            <w:left w:w="108" w:type="dxa"/>
            <w:bottom w:w="170" w:type="dxa"/>
            <w:right w:w="108" w:type="dxa"/>
          </w:tblCellMar>
        </w:tblPrEx>
        <w:trPr>
          <w:trHeight w:val="257" w:hRule="atLeast"/>
          <w:tblHeader/>
          <w:jc w:val="center"/>
        </w:trPr>
        <w:tc>
          <w:tcPr>
            <w:tcW w:w="801" w:type="dxa"/>
            <w:vAlign w:val="center"/>
          </w:tcPr>
          <w:p>
            <w:pPr>
              <w:jc w:val="center"/>
              <w:rPr>
                <w:rFonts w:ascii="仿宋_GB2312" w:hAnsi="仿宋_GB2312" w:cs="仿宋_GB2312"/>
                <w:sz w:val="21"/>
                <w:szCs w:val="21"/>
              </w:rPr>
            </w:pPr>
            <w:r>
              <w:rPr>
                <w:rFonts w:hint="eastAsia" w:ascii="仿宋_GB2312" w:hAnsi="仿宋_GB2312" w:cs="仿宋_GB2312"/>
                <w:sz w:val="21"/>
                <w:szCs w:val="21"/>
              </w:rPr>
              <w:t>序号</w:t>
            </w:r>
          </w:p>
        </w:tc>
        <w:tc>
          <w:tcPr>
            <w:tcW w:w="1799" w:type="dxa"/>
            <w:vAlign w:val="center"/>
          </w:tcPr>
          <w:p>
            <w:pPr>
              <w:jc w:val="center"/>
              <w:rPr>
                <w:rFonts w:ascii="仿宋_GB2312" w:hAnsi="仿宋_GB2312" w:cs="仿宋_GB2312"/>
                <w:sz w:val="21"/>
                <w:szCs w:val="21"/>
              </w:rPr>
            </w:pPr>
            <w:r>
              <w:rPr>
                <w:rFonts w:hint="eastAsia" w:ascii="仿宋_GB2312" w:hAnsi="仿宋_GB2312" w:cs="仿宋_GB2312"/>
                <w:sz w:val="21"/>
                <w:szCs w:val="21"/>
              </w:rPr>
              <w:t>课程名称</w:t>
            </w:r>
          </w:p>
        </w:tc>
        <w:tc>
          <w:tcPr>
            <w:tcW w:w="5398" w:type="dxa"/>
            <w:vAlign w:val="center"/>
          </w:tcPr>
          <w:p>
            <w:pPr>
              <w:jc w:val="center"/>
              <w:rPr>
                <w:rFonts w:ascii="仿宋_GB2312" w:hAnsi="仿宋_GB2312" w:cs="仿宋_GB2312"/>
                <w:sz w:val="21"/>
                <w:szCs w:val="21"/>
              </w:rPr>
            </w:pPr>
            <w:r>
              <w:rPr>
                <w:rFonts w:hint="eastAsia" w:ascii="仿宋_GB2312" w:hAnsi="仿宋_GB2312" w:cs="仿宋_GB2312"/>
                <w:sz w:val="21"/>
                <w:szCs w:val="21"/>
              </w:rPr>
              <w:t>主要教学内容和要求</w:t>
            </w:r>
          </w:p>
        </w:tc>
        <w:tc>
          <w:tcPr>
            <w:tcW w:w="1290" w:type="dxa"/>
            <w:vAlign w:val="center"/>
          </w:tcPr>
          <w:p>
            <w:pPr>
              <w:jc w:val="center"/>
              <w:rPr>
                <w:rFonts w:ascii="仿宋_GB2312" w:hAnsi="仿宋_GB2312" w:cs="仿宋_GB2312"/>
                <w:sz w:val="21"/>
                <w:szCs w:val="21"/>
              </w:rPr>
            </w:pPr>
            <w:r>
              <w:rPr>
                <w:rFonts w:hint="eastAsia" w:ascii="仿宋_GB2312" w:hAnsi="仿宋_GB2312" w:cs="仿宋_GB2312"/>
                <w:sz w:val="21"/>
                <w:szCs w:val="21"/>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70" w:type="dxa"/>
            <w:left w:w="108" w:type="dxa"/>
            <w:bottom w:w="170" w:type="dxa"/>
            <w:right w:w="108" w:type="dxa"/>
          </w:tblCellMar>
        </w:tblPrEx>
        <w:trPr>
          <w:trHeight w:val="956" w:hRule="atLeast"/>
          <w:jc w:val="center"/>
        </w:trPr>
        <w:tc>
          <w:tcPr>
            <w:tcW w:w="801" w:type="dxa"/>
            <w:vAlign w:val="center"/>
          </w:tcPr>
          <w:p>
            <w:pPr>
              <w:jc w:val="center"/>
              <w:rPr>
                <w:rFonts w:ascii="仿宋_GB2312" w:hAnsi="仿宋_GB2312" w:cs="仿宋_GB2312"/>
                <w:sz w:val="21"/>
                <w:szCs w:val="21"/>
              </w:rPr>
            </w:pPr>
            <w:r>
              <w:rPr>
                <w:rFonts w:hint="eastAsia" w:ascii="仿宋_GB2312" w:hAnsi="仿宋_GB2312" w:cs="仿宋_GB2312"/>
                <w:sz w:val="21"/>
                <w:szCs w:val="21"/>
              </w:rPr>
              <w:t>1</w:t>
            </w:r>
          </w:p>
        </w:tc>
        <w:tc>
          <w:tcPr>
            <w:tcW w:w="1799" w:type="dxa"/>
            <w:vAlign w:val="center"/>
          </w:tcPr>
          <w:p>
            <w:pPr>
              <w:jc w:val="center"/>
              <w:rPr>
                <w:rFonts w:ascii="仿宋_GB2312" w:hAnsi="仿宋_GB2312" w:cs="仿宋_GB2312"/>
                <w:sz w:val="21"/>
                <w:szCs w:val="21"/>
              </w:rPr>
            </w:pPr>
            <w:r>
              <w:rPr>
                <w:rFonts w:hint="eastAsia" w:ascii="仿宋_GB2312" w:hAnsi="仿宋_GB2312" w:cs="仿宋_GB2312"/>
                <w:sz w:val="21"/>
                <w:szCs w:val="21"/>
              </w:rPr>
              <w:t>职业技能X证书实训</w:t>
            </w:r>
          </w:p>
        </w:tc>
        <w:tc>
          <w:tcPr>
            <w:tcW w:w="5398" w:type="dxa"/>
            <w:vAlign w:val="center"/>
          </w:tcPr>
          <w:p>
            <w:pPr>
              <w:jc w:val="left"/>
              <w:rPr>
                <w:rFonts w:ascii="仿宋_GB2312" w:hAnsi="仿宋_GB2312" w:cs="仿宋_GB2312"/>
                <w:sz w:val="21"/>
                <w:szCs w:val="21"/>
              </w:rPr>
            </w:pPr>
            <w:r>
              <w:rPr>
                <w:rFonts w:hint="eastAsia" w:ascii="仿宋_GB2312" w:hAnsi="仿宋_GB2312" w:cs="仿宋_GB2312"/>
                <w:sz w:val="21"/>
                <w:szCs w:val="21"/>
              </w:rPr>
              <w:t>在相关课程的基础上，根据学生能力分类对X证书的【汽车动力与驱动系统综合分析技术】、【汽车转向悬架与制动安全技术】、【汽车电子电气与空调舒适系统技术】初级模块的职业能力进行训练和考评。</w:t>
            </w:r>
          </w:p>
        </w:tc>
        <w:tc>
          <w:tcPr>
            <w:tcW w:w="1290" w:type="dxa"/>
            <w:vAlign w:val="center"/>
          </w:tcPr>
          <w:p>
            <w:pPr>
              <w:jc w:val="center"/>
              <w:rPr>
                <w:rFonts w:ascii="仿宋_GB2312" w:hAnsi="仿宋_GB2312" w:cs="仿宋_GB2312"/>
                <w:sz w:val="21"/>
                <w:szCs w:val="21"/>
              </w:rPr>
            </w:pPr>
            <w:r>
              <w:rPr>
                <w:rFonts w:hint="eastAsia" w:ascii="仿宋_GB2312" w:hAnsi="仿宋_GB2312" w:cs="仿宋_GB2312"/>
                <w:sz w:val="21"/>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70" w:type="dxa"/>
            <w:left w:w="108" w:type="dxa"/>
            <w:bottom w:w="170" w:type="dxa"/>
            <w:right w:w="108" w:type="dxa"/>
          </w:tblCellMar>
        </w:tblPrEx>
        <w:trPr>
          <w:trHeight w:val="612" w:hRule="atLeast"/>
          <w:jc w:val="center"/>
        </w:trPr>
        <w:tc>
          <w:tcPr>
            <w:tcW w:w="801" w:type="dxa"/>
            <w:vAlign w:val="center"/>
          </w:tcPr>
          <w:p>
            <w:pPr>
              <w:jc w:val="center"/>
              <w:rPr>
                <w:rFonts w:ascii="仿宋_GB2312" w:hAnsi="仿宋_GB2312" w:cs="仿宋_GB2312"/>
                <w:sz w:val="21"/>
                <w:szCs w:val="21"/>
              </w:rPr>
            </w:pPr>
            <w:r>
              <w:rPr>
                <w:rFonts w:hint="eastAsia" w:ascii="仿宋_GB2312" w:hAnsi="仿宋_GB2312" w:cs="仿宋_GB2312"/>
                <w:sz w:val="21"/>
                <w:szCs w:val="21"/>
              </w:rPr>
              <w:t>2</w:t>
            </w:r>
          </w:p>
        </w:tc>
        <w:tc>
          <w:tcPr>
            <w:tcW w:w="1799" w:type="dxa"/>
            <w:vAlign w:val="center"/>
          </w:tcPr>
          <w:p>
            <w:pPr>
              <w:jc w:val="center"/>
              <w:rPr>
                <w:rFonts w:ascii="仿宋_GB2312" w:hAnsi="仿宋_GB2312" w:cs="仿宋_GB2312"/>
                <w:sz w:val="21"/>
                <w:szCs w:val="21"/>
              </w:rPr>
            </w:pPr>
            <w:r>
              <w:rPr>
                <w:rFonts w:hint="eastAsia" w:ascii="仿宋_GB2312" w:hAnsi="仿宋_GB2312" w:cs="仿宋_GB2312"/>
                <w:sz w:val="21"/>
                <w:szCs w:val="21"/>
              </w:rPr>
              <w:t>汽车综合故障诊断实训</w:t>
            </w:r>
          </w:p>
        </w:tc>
        <w:tc>
          <w:tcPr>
            <w:tcW w:w="5398" w:type="dxa"/>
            <w:vAlign w:val="center"/>
          </w:tcPr>
          <w:p>
            <w:pPr>
              <w:rPr>
                <w:rFonts w:ascii="Calibri" w:hAnsi="Calibri"/>
                <w:sz w:val="21"/>
                <w:szCs w:val="21"/>
              </w:rPr>
            </w:pPr>
            <w:r>
              <w:rPr>
                <w:rFonts w:hint="eastAsia" w:ascii="Calibri" w:hAnsi="Calibri"/>
                <w:sz w:val="21"/>
                <w:szCs w:val="21"/>
              </w:rPr>
              <w:t>在相关课程的基础上，综合训练使用维修设备、工量具对汽油机机械系统、电控系统、车身控制系统等的测量；能分析汽车综合的故障，能够诊断与排除汽车的综合故障。</w:t>
            </w:r>
          </w:p>
        </w:tc>
        <w:tc>
          <w:tcPr>
            <w:tcW w:w="1290" w:type="dxa"/>
            <w:vAlign w:val="center"/>
          </w:tcPr>
          <w:p>
            <w:pPr>
              <w:jc w:val="center"/>
              <w:rPr>
                <w:rFonts w:ascii="仿宋_GB2312" w:hAnsi="仿宋_GB2312" w:cs="仿宋_GB2312"/>
                <w:sz w:val="21"/>
                <w:szCs w:val="21"/>
              </w:rPr>
            </w:pPr>
            <w:r>
              <w:rPr>
                <w:rFonts w:hint="eastAsia" w:ascii="仿宋_GB2312" w:hAnsi="仿宋_GB2312" w:cs="仿宋_GB2312"/>
                <w:sz w:val="21"/>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70" w:type="dxa"/>
            <w:left w:w="108" w:type="dxa"/>
            <w:bottom w:w="170" w:type="dxa"/>
            <w:right w:w="108" w:type="dxa"/>
          </w:tblCellMar>
        </w:tblPrEx>
        <w:trPr>
          <w:trHeight w:val="816" w:hRule="atLeast"/>
          <w:jc w:val="center"/>
        </w:trPr>
        <w:tc>
          <w:tcPr>
            <w:tcW w:w="801" w:type="dxa"/>
            <w:vAlign w:val="center"/>
          </w:tcPr>
          <w:p>
            <w:pPr>
              <w:jc w:val="center"/>
              <w:rPr>
                <w:rFonts w:ascii="仿宋_GB2312" w:hAnsi="仿宋_GB2312" w:cs="仿宋_GB2312"/>
                <w:sz w:val="21"/>
                <w:szCs w:val="21"/>
              </w:rPr>
            </w:pPr>
            <w:r>
              <w:rPr>
                <w:rFonts w:hint="eastAsia" w:ascii="仿宋_GB2312" w:hAnsi="仿宋_GB2312" w:cs="仿宋_GB2312"/>
                <w:sz w:val="21"/>
                <w:szCs w:val="21"/>
              </w:rPr>
              <w:t>3</w:t>
            </w:r>
          </w:p>
        </w:tc>
        <w:tc>
          <w:tcPr>
            <w:tcW w:w="1799" w:type="dxa"/>
            <w:vAlign w:val="center"/>
          </w:tcPr>
          <w:p>
            <w:pPr>
              <w:jc w:val="center"/>
              <w:rPr>
                <w:rFonts w:ascii="仿宋_GB2312" w:hAnsi="仿宋_GB2312" w:cs="仿宋_GB2312"/>
                <w:sz w:val="21"/>
                <w:szCs w:val="21"/>
              </w:rPr>
            </w:pPr>
            <w:r>
              <w:rPr>
                <w:rFonts w:hint="eastAsia" w:ascii="仿宋_GB2312" w:hAnsi="仿宋_GB2312" w:cs="仿宋_GB2312"/>
                <w:sz w:val="21"/>
                <w:szCs w:val="21"/>
              </w:rPr>
              <w:t>商用车综合故障诊断实训</w:t>
            </w:r>
          </w:p>
        </w:tc>
        <w:tc>
          <w:tcPr>
            <w:tcW w:w="5398" w:type="dxa"/>
            <w:vAlign w:val="center"/>
          </w:tcPr>
          <w:p>
            <w:pPr>
              <w:jc w:val="left"/>
              <w:rPr>
                <w:rFonts w:ascii="仿宋_GB2312" w:hAnsi="仿宋_GB2312" w:cs="仿宋_GB2312"/>
                <w:sz w:val="21"/>
                <w:szCs w:val="21"/>
              </w:rPr>
            </w:pPr>
            <w:r>
              <w:rPr>
                <w:rFonts w:hint="eastAsia" w:ascii="Calibri" w:hAnsi="Calibri"/>
                <w:sz w:val="21"/>
                <w:szCs w:val="21"/>
              </w:rPr>
              <w:t>在相关课程的基础上，综合训练使用维修设备、工量具对商用车柴油机机械系统、柴油电控系统、车身控制系统等的测量；能分析汽车综合的故障，能够诊断与排除汽车的综合故障。</w:t>
            </w:r>
          </w:p>
        </w:tc>
        <w:tc>
          <w:tcPr>
            <w:tcW w:w="1290" w:type="dxa"/>
            <w:vAlign w:val="center"/>
          </w:tcPr>
          <w:p>
            <w:pPr>
              <w:jc w:val="center"/>
              <w:rPr>
                <w:rFonts w:ascii="仿宋_GB2312" w:hAnsi="仿宋_GB2312" w:cs="仿宋_GB2312"/>
                <w:sz w:val="21"/>
                <w:szCs w:val="21"/>
              </w:rPr>
            </w:pPr>
            <w:r>
              <w:rPr>
                <w:rFonts w:hint="eastAsia" w:ascii="仿宋_GB2312" w:hAnsi="仿宋_GB2312" w:cs="仿宋_GB2312"/>
                <w:sz w:val="21"/>
                <w:szCs w:val="21"/>
              </w:rPr>
              <w:t>30</w:t>
            </w:r>
          </w:p>
        </w:tc>
      </w:tr>
    </w:tbl>
    <w:p>
      <w:pPr>
        <w:pageBreakBefore w:val="0"/>
        <w:widowControl w:val="0"/>
        <w:kinsoku/>
        <w:wordWrap/>
        <w:overflowPunct/>
        <w:topLinePunct w:val="0"/>
        <w:autoSpaceDE/>
        <w:autoSpaceDN/>
        <w:bidi w:val="0"/>
        <w:adjustRightInd/>
        <w:snapToGrid/>
        <w:spacing w:line="560" w:lineRule="exact"/>
        <w:jc w:val="center"/>
        <w:textAlignment w:val="auto"/>
        <w:rPr>
          <w:rFonts w:ascii="仿宋_GB2312" w:hAnsi="仿宋_GB2312" w:cs="仿宋_GB2312"/>
          <w:sz w:val="28"/>
          <w:szCs w:val="28"/>
        </w:rPr>
      </w:pPr>
      <w:bookmarkStart w:id="74" w:name="_Toc20132"/>
      <w:bookmarkStart w:id="75" w:name="_Toc12264"/>
      <w:bookmarkStart w:id="76" w:name="_Toc10733"/>
      <w:r>
        <w:rPr>
          <w:rFonts w:hint="eastAsia" w:ascii="仿宋_GB2312" w:hAnsi="仿宋_GB2312" w:cs="仿宋_GB2312"/>
          <w:sz w:val="21"/>
          <w:szCs w:val="21"/>
        </w:rPr>
        <w:t>表9 综合实训课程一览表</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（5）</w:t>
      </w:r>
      <w:bookmarkEnd w:id="74"/>
      <w:bookmarkEnd w:id="75"/>
      <w:bookmarkEnd w:id="76"/>
      <w:r>
        <w:rPr>
          <w:rFonts w:hint="eastAsia" w:ascii="仿宋_GB2312" w:hAnsi="仿宋_GB2312" w:cs="仿宋_GB2312"/>
          <w:sz w:val="28"/>
          <w:szCs w:val="28"/>
        </w:rPr>
        <w:t>专业实践课程</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sz w:val="28"/>
          <w:szCs w:val="28"/>
        </w:rPr>
      </w:pPr>
      <w:r>
        <w:rPr>
          <w:rFonts w:hint="eastAsia"/>
          <w:sz w:val="28"/>
          <w:szCs w:val="28"/>
        </w:rPr>
        <w:t>①专业（综合）实训</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sz w:val="28"/>
          <w:szCs w:val="28"/>
        </w:rPr>
      </w:pPr>
      <w:r>
        <w:rPr>
          <w:rFonts w:hint="eastAsia"/>
          <w:sz w:val="28"/>
          <w:szCs w:val="28"/>
        </w:rPr>
        <w:t>专业（综合）实训以提升汽车运用与维修专业学生的综合职业能力为教学目标，根据汽车机修方向和商用车维修方向的具体培养目标，通过与汽修企业合作，共同开发多种形式的实战实训项目。结合专业教学的实际需求，以工学结合的形式进行合理的设置和排布，在校内外灵活开展能够提升学生的实战能力、积累经验以及提升实操能力的项目，提高学生的动手能力，提升综合职业素养。通过专业（综合）实训中多种形式项目的实施，积极探索本专业的落地实施途径。</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sz w:val="28"/>
          <w:szCs w:val="28"/>
        </w:rPr>
      </w:pPr>
      <w:r>
        <w:rPr>
          <w:rFonts w:hint="eastAsia"/>
          <w:sz w:val="28"/>
          <w:szCs w:val="28"/>
        </w:rPr>
        <w:t>②专业（毕业）实习</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sz w:val="28"/>
          <w:szCs w:val="28"/>
        </w:rPr>
      </w:pPr>
      <w:r>
        <w:rPr>
          <w:rFonts w:hint="eastAsia"/>
          <w:sz w:val="28"/>
          <w:szCs w:val="28"/>
        </w:rPr>
        <w:t>顶岗实习是学生职业技能和职业岗位工作能力培养的重要实践教学环节，本专业严格按教育部的《中等职业学校学生实习管理办法》的有关要求，让学生以“准职业人”的身份参与企业的工作。通过企业顶岗实习，学生能更深入地了解企业相关岗位的工作任务与职责权限，能够用所学知识和技能解决实际工作问题，学会与人相处与合作，树立正确的劳动观念和就业观。</w:t>
      </w:r>
    </w:p>
    <w:p>
      <w:pPr>
        <w:pStyle w:val="2"/>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ascii="仿宋_GB2312" w:hAnsi="仿宋_GB2312" w:cs="仿宋_GB2312"/>
          <w:sz w:val="32"/>
          <w:szCs w:val="32"/>
        </w:rPr>
      </w:pPr>
      <w:bookmarkStart w:id="77" w:name="_Toc16687"/>
      <w:bookmarkStart w:id="78" w:name="_Toc17259"/>
      <w:bookmarkStart w:id="79" w:name="_Toc22498"/>
      <w:r>
        <w:rPr>
          <w:rFonts w:hint="eastAsia" w:ascii="仿宋_GB2312" w:hAnsi="仿宋_GB2312" w:cs="仿宋_GB2312"/>
          <w:sz w:val="32"/>
          <w:szCs w:val="32"/>
        </w:rPr>
        <w:t>七、教学进程总体安排</w:t>
      </w:r>
      <w:bookmarkEnd w:id="77"/>
      <w:bookmarkEnd w:id="78"/>
      <w:bookmarkEnd w:id="79"/>
    </w:p>
    <w:p>
      <w:pPr>
        <w:pStyle w:val="3"/>
        <w:pageBreakBefore w:val="0"/>
        <w:widowControl w:val="0"/>
        <w:kinsoku/>
        <w:wordWrap/>
        <w:overflowPunct/>
        <w:topLinePunct w:val="0"/>
        <w:autoSpaceDE/>
        <w:autoSpaceDN/>
        <w:bidi w:val="0"/>
        <w:adjustRightInd/>
        <w:snapToGrid/>
        <w:spacing w:before="0" w:after="0" w:line="560" w:lineRule="exact"/>
        <w:ind w:firstLine="562" w:firstLineChars="200"/>
        <w:textAlignment w:val="auto"/>
        <w:rPr>
          <w:rFonts w:ascii="仿宋_GB2312" w:hAnsi="仿宋_GB2312" w:cs="仿宋_GB2312"/>
          <w:szCs w:val="28"/>
        </w:rPr>
      </w:pPr>
      <w:bookmarkStart w:id="80" w:name="_Toc3408"/>
      <w:bookmarkStart w:id="81" w:name="_Toc31447"/>
      <w:bookmarkStart w:id="82" w:name="_Toc13699"/>
      <w:r>
        <w:rPr>
          <w:rFonts w:hint="eastAsia" w:ascii="仿宋_GB2312" w:hAnsi="仿宋_GB2312" w:cs="仿宋_GB2312"/>
          <w:szCs w:val="28"/>
        </w:rPr>
        <w:t>（一）基本要求</w:t>
      </w:r>
      <w:bookmarkEnd w:id="80"/>
      <w:bookmarkEnd w:id="81"/>
      <w:bookmarkEnd w:id="82"/>
    </w:p>
    <w:p>
      <w:pPr>
        <w:pageBreakBefore w:val="0"/>
        <w:widowControl w:val="0"/>
        <w:kinsoku/>
        <w:wordWrap/>
        <w:overflowPunct/>
        <w:topLinePunct w:val="0"/>
        <w:autoSpaceDE/>
        <w:autoSpaceDN/>
        <w:bidi w:val="0"/>
        <w:adjustRightInd/>
        <w:snapToGrid/>
        <w:spacing w:line="560" w:lineRule="exact"/>
        <w:ind w:firstLine="560" w:firstLineChars="200"/>
        <w:textAlignment w:val="auto"/>
        <w:rPr>
          <w:sz w:val="28"/>
          <w:szCs w:val="28"/>
        </w:rPr>
      </w:pPr>
      <w:r>
        <w:rPr>
          <w:rFonts w:hint="eastAsia"/>
          <w:sz w:val="28"/>
          <w:szCs w:val="28"/>
        </w:rPr>
        <w:t>每学年为52周，其中教学时间40周（含复习考试），有效教学周为36周，累计假期12周，周学时为30学时，顶岗实习按每周30小时（1小时折合1学时）安排，3年总学时数为3408。公共基础课学时（公共基础必修课1116学时，公共基础限定选修课252学时）约占总学时的40%。专业课学时（专业核心课738学时，专业方向课534学时，专业选修课126学时，顶岗实习600学时）约占总学时的60%。鼓励将学生取得的行业企业认可度高的职业技能等级证书或“1+X”能力认证证书，按一定规则折算为学历教育相应学分。</w:t>
      </w:r>
      <w:bookmarkStart w:id="83" w:name="_Toc19714"/>
      <w:bookmarkStart w:id="84" w:name="_Toc29230"/>
      <w:bookmarkStart w:id="85" w:name="_Toc19210"/>
    </w:p>
    <w:p>
      <w:pPr>
        <w:pStyle w:val="3"/>
        <w:pageBreakBefore w:val="0"/>
        <w:widowControl w:val="0"/>
        <w:kinsoku/>
        <w:wordWrap/>
        <w:overflowPunct/>
        <w:topLinePunct w:val="0"/>
        <w:autoSpaceDE/>
        <w:autoSpaceDN/>
        <w:bidi w:val="0"/>
        <w:adjustRightInd/>
        <w:snapToGrid/>
        <w:spacing w:before="0" w:after="0" w:line="560" w:lineRule="exact"/>
        <w:ind w:firstLine="562" w:firstLineChars="200"/>
        <w:textAlignment w:val="auto"/>
      </w:pPr>
      <w:r>
        <w:rPr>
          <w:rFonts w:hint="eastAsia"/>
        </w:rPr>
        <w:t>（二）教学进度安排</w:t>
      </w:r>
      <w:bookmarkEnd w:id="83"/>
      <w:bookmarkEnd w:id="84"/>
      <w:bookmarkEnd w:id="85"/>
    </w:p>
    <w:p>
      <w:pPr>
        <w:pageBreakBefore w:val="0"/>
        <w:widowControl w:val="0"/>
        <w:kinsoku/>
        <w:wordWrap/>
        <w:overflowPunct/>
        <w:topLinePunct w:val="0"/>
        <w:autoSpaceDE/>
        <w:autoSpaceDN/>
        <w:bidi w:val="0"/>
        <w:adjustRightInd/>
        <w:snapToGrid/>
        <w:spacing w:line="560" w:lineRule="exact"/>
        <w:textAlignment w:val="auto"/>
        <w:rPr>
          <w:sz w:val="28"/>
          <w:szCs w:val="28"/>
        </w:rPr>
      </w:pPr>
    </w:p>
    <w:p>
      <w:pPr>
        <w:jc w:val="center"/>
        <w:rPr>
          <w:rFonts w:ascii="仿宋_GB2312" w:hAnsi="仿宋_GB2312" w:cs="仿宋_GB2312"/>
          <w:sz w:val="21"/>
          <w:szCs w:val="21"/>
        </w:rPr>
      </w:pPr>
      <w:bookmarkStart w:id="86" w:name="_MON_1685859853"/>
      <w:bookmarkEnd w:id="86"/>
      <w:bookmarkStart w:id="87" w:name="bookmark73"/>
      <w:r>
        <w:rPr>
          <w:rFonts w:hint="eastAsia" w:ascii="仿宋_GB2312" w:hAnsi="仿宋_GB2312" w:cs="仿宋_GB2312"/>
          <w:sz w:val="21"/>
          <w:szCs w:val="21"/>
        </w:rPr>
        <w:object>
          <v:shape id="_x0000_i1026" o:spt="75" type="#_x0000_t75" style="height:681.75pt;width:483.75pt;" o:ole="t" filled="f" o:preferrelative="f" stroked="f" coordsize="21600,21600">
            <v:path/>
            <v:fill on="f" focussize="0,0"/>
            <v:stroke on="f"/>
            <v:imagedata r:id="rId10" o:title=""/>
            <o:lock v:ext="edit" aspectratio="f"/>
            <w10:wrap type="none"/>
            <w10:anchorlock/>
          </v:shape>
          <o:OLEObject Type="Embed" ProgID="Excel.Sheet.12" ShapeID="_x0000_i1026" DrawAspect="Content" ObjectID="_1468075726" r:id="rId9">
            <o:LockedField>false</o:LockedField>
          </o:OLEObject>
        </w:object>
      </w:r>
      <w:r>
        <w:rPr>
          <w:rFonts w:hint="eastAsia" w:ascii="仿宋_GB2312" w:hAnsi="仿宋_GB2312" w:cs="仿宋_GB2312"/>
          <w:sz w:val="21"/>
          <w:szCs w:val="21"/>
        </w:rPr>
        <w:t>表10 教学安排建议表</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说明：</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1.</w:t>
      </w:r>
      <w:r>
        <w:rPr>
          <w:rFonts w:hint="eastAsia"/>
          <w:sz w:val="28"/>
          <w:szCs w:val="28"/>
        </w:rPr>
        <w:t>学校实行学分制，18学时为1学分。</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sz w:val="28"/>
          <w:szCs w:val="28"/>
        </w:rPr>
      </w:pPr>
      <w:r>
        <w:rPr>
          <w:rFonts w:hint="eastAsia" w:ascii="仿宋_GB2312" w:hAnsi="仿宋_GB2312" w:cs="仿宋_GB2312"/>
          <w:sz w:val="28"/>
          <w:szCs w:val="28"/>
        </w:rPr>
        <w:t>2.</w:t>
      </w:r>
      <w:r>
        <w:rPr>
          <w:rFonts w:hint="eastAsia"/>
          <w:sz w:val="28"/>
          <w:szCs w:val="28"/>
        </w:rPr>
        <w:t>入学教育（军训）1周2学分和认知实习2天1学分在第一学期，跟岗实习1周在第3学期2学分；顶岗实习6个月在第6学期总学分30学分；专业方向综合实训1周4学分在第5学期末。</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sz w:val="28"/>
          <w:szCs w:val="28"/>
        </w:rPr>
      </w:pPr>
      <w:r>
        <w:rPr>
          <w:rFonts w:hint="eastAsia"/>
          <w:sz w:val="28"/>
          <w:szCs w:val="28"/>
        </w:rPr>
        <w:t>3.取得职业技能等级证书或“1+X”能力认证证书，参加国际性、全国性、省部级、地市级、行业内的职业技能竞赛以及各种知识、文艺、体育等竞赛中获得奖励折合成学分。</w:t>
      </w:r>
    </w:p>
    <w:p>
      <w:pPr>
        <w:pStyle w:val="2"/>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ascii="仿宋_GB2312" w:hAnsi="仿宋_GB2312" w:cs="仿宋_GB2312"/>
          <w:sz w:val="32"/>
          <w:szCs w:val="32"/>
        </w:rPr>
      </w:pPr>
      <w:bookmarkStart w:id="88" w:name="_Toc8584"/>
      <w:bookmarkStart w:id="89" w:name="_Toc2414"/>
      <w:bookmarkStart w:id="90" w:name="_Toc27101"/>
      <w:r>
        <w:rPr>
          <w:rFonts w:hint="eastAsia" w:ascii="仿宋_GB2312" w:hAnsi="仿宋_GB2312" w:cs="仿宋_GB2312"/>
          <w:sz w:val="32"/>
          <w:szCs w:val="32"/>
        </w:rPr>
        <w:t>八</w:t>
      </w:r>
      <w:bookmarkEnd w:id="87"/>
      <w:r>
        <w:rPr>
          <w:rFonts w:hint="eastAsia" w:ascii="仿宋_GB2312" w:hAnsi="仿宋_GB2312" w:cs="仿宋_GB2312"/>
          <w:sz w:val="32"/>
          <w:szCs w:val="32"/>
        </w:rPr>
        <w:t>、实施保障</w:t>
      </w:r>
      <w:bookmarkEnd w:id="88"/>
      <w:bookmarkEnd w:id="89"/>
      <w:bookmarkEnd w:id="90"/>
    </w:p>
    <w:p>
      <w:pPr>
        <w:pStyle w:val="3"/>
        <w:pageBreakBefore w:val="0"/>
        <w:widowControl w:val="0"/>
        <w:kinsoku/>
        <w:wordWrap/>
        <w:overflowPunct/>
        <w:topLinePunct w:val="0"/>
        <w:autoSpaceDE/>
        <w:autoSpaceDN/>
        <w:bidi w:val="0"/>
        <w:adjustRightInd/>
        <w:snapToGrid/>
        <w:spacing w:before="0" w:after="0" w:line="560" w:lineRule="exact"/>
        <w:ind w:firstLine="562" w:firstLineChars="200"/>
        <w:textAlignment w:val="auto"/>
        <w:rPr>
          <w:rFonts w:ascii="仿宋_GB2312" w:hAnsi="仿宋_GB2312" w:cs="仿宋_GB2312"/>
          <w:szCs w:val="28"/>
        </w:rPr>
      </w:pPr>
      <w:bookmarkStart w:id="91" w:name="_Toc29368"/>
      <w:bookmarkStart w:id="92" w:name="_Toc18651"/>
      <w:bookmarkStart w:id="93" w:name="_Toc26340"/>
      <w:r>
        <w:rPr>
          <w:rFonts w:hint="eastAsia" w:ascii="仿宋_GB2312" w:hAnsi="仿宋_GB2312" w:cs="仿宋_GB2312"/>
          <w:szCs w:val="28"/>
        </w:rPr>
        <w:t>（一）</w:t>
      </w:r>
      <w:r>
        <w:rPr>
          <w:rFonts w:hint="eastAsia" w:ascii="仿宋_GB2312" w:hAnsi="仿宋_GB2312" w:cs="仿宋_GB2312"/>
          <w:szCs w:val="28"/>
          <w:lang w:val="zh-CN"/>
        </w:rPr>
        <w:t>师</w:t>
      </w:r>
      <w:r>
        <w:rPr>
          <w:rFonts w:hint="eastAsia" w:ascii="仿宋_GB2312" w:hAnsi="仿宋_GB2312" w:cs="仿宋_GB2312"/>
          <w:szCs w:val="28"/>
        </w:rPr>
        <w:t>资队伍</w:t>
      </w:r>
      <w:bookmarkEnd w:id="91"/>
      <w:bookmarkEnd w:id="92"/>
      <w:bookmarkEnd w:id="93"/>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bookmarkStart w:id="94" w:name="bookmark74"/>
      <w:bookmarkEnd w:id="94"/>
      <w:r>
        <w:rPr>
          <w:rFonts w:hint="eastAsia" w:ascii="仿宋_GB2312" w:hAnsi="仿宋_GB2312" w:cs="仿宋_GB2312"/>
          <w:sz w:val="28"/>
          <w:szCs w:val="28"/>
        </w:rPr>
        <w:t>根据教育部颁布的《中等职业学校教师专业标准》和《中等职业学校设置标准》的有关规定，进行教师队伍建设，合理配置教师资源。专任教师的学历职称结构应合理，专任教师师生比不低于1:20，其中双师型教师占专业课教师比例不低于50%。建立双师教学团队，应有业务水平较高的专业带头人。</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专任教师应具有中等职业学校教师资格证书和相关的专业资格证书，有良好的师德，对本专业课程有较为全面的了解，对汽车维修专业课程有较为全面的了解，熟悉教学规律；了解和关注汽车制造与维修行业动态与车辆技术发展，有汽车维修企业车辆一般维修岗位工作经验或参加汽车维修生产实践的经历，适应产业行业发展需求，熟悉企业情况，积极开展课程教学改革。专任教师应主动前往汽车4S店、汽车维修厂、汽车制造厂等行业、企业进行相应的专业 实践,专业课教师每5年的专业实践时间不少于6个月。</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sz w:val="28"/>
          <w:szCs w:val="28"/>
        </w:rPr>
        <w:t>兼职教师主要从相关企业的高技术技能人才中聘任，应具备良好的思想政治素质、职业道德和工匠精神、具有扎实的汽车运用与维修专业知识和丰富的实际工作经验，具有中级及以上相关专业职称或</w:t>
      </w:r>
      <w:r>
        <w:rPr>
          <w:rFonts w:hint="eastAsia" w:ascii="仿宋_GB2312" w:hAnsi="仿宋_GB2312" w:cs="仿宋_GB2312"/>
          <w:sz w:val="28"/>
          <w:szCs w:val="28"/>
        </w:rPr>
        <w:t>高等级技能证书</w:t>
      </w:r>
      <w:r>
        <w:rPr>
          <w:rFonts w:hint="eastAsia"/>
          <w:sz w:val="28"/>
          <w:szCs w:val="28"/>
        </w:rPr>
        <w:t>，能承担专业课程教学、实习实训指导和学生职业发展规划等专业教学任务。</w:t>
      </w:r>
    </w:p>
    <w:p>
      <w:pPr>
        <w:pStyle w:val="3"/>
        <w:pageBreakBefore w:val="0"/>
        <w:widowControl w:val="0"/>
        <w:kinsoku/>
        <w:wordWrap/>
        <w:overflowPunct/>
        <w:topLinePunct w:val="0"/>
        <w:autoSpaceDE/>
        <w:autoSpaceDN/>
        <w:bidi w:val="0"/>
        <w:adjustRightInd/>
        <w:snapToGrid/>
        <w:spacing w:before="0" w:after="0" w:line="560" w:lineRule="exact"/>
        <w:ind w:firstLine="562" w:firstLineChars="200"/>
        <w:textAlignment w:val="auto"/>
        <w:rPr>
          <w:rFonts w:ascii="仿宋_GB2312" w:hAnsi="仿宋_GB2312" w:cs="仿宋_GB2312"/>
          <w:szCs w:val="28"/>
        </w:rPr>
      </w:pPr>
      <w:bookmarkStart w:id="95" w:name="_Toc17009"/>
      <w:bookmarkStart w:id="96" w:name="_Toc32444"/>
      <w:bookmarkStart w:id="97" w:name="_Toc29989"/>
      <w:r>
        <w:rPr>
          <w:rFonts w:hint="eastAsia" w:ascii="仿宋_GB2312" w:hAnsi="仿宋_GB2312" w:cs="仿宋_GB2312"/>
          <w:szCs w:val="28"/>
        </w:rPr>
        <w:t>（二）</w:t>
      </w:r>
      <w:r>
        <w:rPr>
          <w:rFonts w:hint="eastAsia" w:ascii="仿宋_GB2312" w:hAnsi="仿宋_GB2312" w:cs="仿宋_GB2312"/>
          <w:szCs w:val="28"/>
          <w:lang w:val="zh-CN"/>
        </w:rPr>
        <w:t>教</w:t>
      </w:r>
      <w:r>
        <w:rPr>
          <w:rFonts w:hint="eastAsia" w:ascii="仿宋_GB2312" w:hAnsi="仿宋_GB2312" w:cs="仿宋_GB2312"/>
          <w:szCs w:val="28"/>
        </w:rPr>
        <w:t>学设施</w:t>
      </w:r>
      <w:bookmarkEnd w:id="95"/>
      <w:bookmarkEnd w:id="96"/>
      <w:bookmarkEnd w:id="97"/>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1.校内实践教学条件</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校内实践教学条件按照完成专业学习领域核心课程的学习情境教学要求配置，每个场地满足一次性容纳40名学生进行基于行动导向的理论实践一体化教学的需要。专业核心课程的实践条件配置与要求见下表。</w:t>
      </w:r>
    </w:p>
    <w:tbl>
      <w:tblPr>
        <w:tblStyle w:val="17"/>
        <w:tblW w:w="9650" w:type="dxa"/>
        <w:jc w:val="center"/>
        <w:tblLayout w:type="fixed"/>
        <w:tblCellMar>
          <w:top w:w="15" w:type="dxa"/>
          <w:left w:w="15" w:type="dxa"/>
          <w:bottom w:w="15" w:type="dxa"/>
          <w:right w:w="15" w:type="dxa"/>
        </w:tblCellMar>
      </w:tblPr>
      <w:tblGrid>
        <w:gridCol w:w="532"/>
        <w:gridCol w:w="1222"/>
        <w:gridCol w:w="6182"/>
        <w:gridCol w:w="1714"/>
      </w:tblGrid>
      <w:tr>
        <w:tblPrEx>
          <w:tblCellMar>
            <w:top w:w="15" w:type="dxa"/>
            <w:left w:w="15" w:type="dxa"/>
            <w:bottom w:w="15" w:type="dxa"/>
            <w:right w:w="15" w:type="dxa"/>
          </w:tblCellMar>
        </w:tblPrEx>
        <w:trPr>
          <w:trHeight w:val="285" w:hRule="atLeast"/>
          <w:jc w:val="center"/>
        </w:trPr>
        <w:tc>
          <w:tcPr>
            <w:tcW w:w="53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序号</w:t>
            </w:r>
          </w:p>
        </w:tc>
        <w:tc>
          <w:tcPr>
            <w:tcW w:w="122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实训室名称</w:t>
            </w:r>
          </w:p>
        </w:tc>
        <w:tc>
          <w:tcPr>
            <w:tcW w:w="789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主要工具和设施设备</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名称</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数量（生均台套）</w:t>
            </w:r>
          </w:p>
        </w:tc>
      </w:tr>
      <w:tr>
        <w:tblPrEx>
          <w:tblCellMar>
            <w:top w:w="15" w:type="dxa"/>
            <w:left w:w="15" w:type="dxa"/>
            <w:bottom w:w="15" w:type="dxa"/>
            <w:right w:w="15" w:type="dxa"/>
          </w:tblCellMar>
        </w:tblPrEx>
        <w:trPr>
          <w:trHeight w:val="1020" w:hRule="atLeast"/>
          <w:jc w:val="center"/>
        </w:trPr>
        <w:tc>
          <w:tcPr>
            <w:tcW w:w="53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1</w:t>
            </w:r>
          </w:p>
        </w:tc>
        <w:tc>
          <w:tcPr>
            <w:tcW w:w="122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汽车电工电子实训室</w:t>
            </w: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可进行并联电路；串联电路；电流实验；电压实验；电阻实 验；欧姆定律；短路和断路检查；二极管、三极管、继电器、 LED检测；整流电路；放大电路；继电器控制电路等实验</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8(1/5)</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万用表</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8(1/5)</w:t>
            </w:r>
          </w:p>
        </w:tc>
      </w:tr>
      <w:tr>
        <w:tblPrEx>
          <w:tblCellMar>
            <w:top w:w="15" w:type="dxa"/>
            <w:left w:w="15" w:type="dxa"/>
            <w:bottom w:w="15" w:type="dxa"/>
            <w:right w:w="15" w:type="dxa"/>
          </w:tblCellMar>
        </w:tblPrEx>
        <w:trPr>
          <w:trHeight w:val="285" w:hRule="atLeast"/>
          <w:jc w:val="center"/>
        </w:trPr>
        <w:tc>
          <w:tcPr>
            <w:tcW w:w="53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2</w:t>
            </w:r>
          </w:p>
        </w:tc>
        <w:tc>
          <w:tcPr>
            <w:tcW w:w="122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汽车发动机构造与维修实训室</w:t>
            </w: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汽车起动充电机</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1(1/40)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汽车发动机解剖台架</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1(1/40)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发动机各系统示教板</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1(1/40)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发动机起动试验台架</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2(1/20)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汽车总成及拆装翻转台架</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8(1/5)</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发动机拆装工具</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8(1/5)</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000000" w:sz="4" w:space="0"/>
              <w:left w:val="single" w:color="000000" w:sz="4" w:space="0"/>
              <w:bottom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000000" w:sz="4" w:space="0"/>
              <w:bottom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auto"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发动机维修常用量具</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8(1/5)</w:t>
            </w:r>
          </w:p>
        </w:tc>
      </w:tr>
      <w:tr>
        <w:tblPrEx>
          <w:tblCellMar>
            <w:top w:w="15" w:type="dxa"/>
            <w:left w:w="15" w:type="dxa"/>
            <w:bottom w:w="15" w:type="dxa"/>
            <w:right w:w="15" w:type="dxa"/>
          </w:tblCellMar>
        </w:tblPrEx>
        <w:trPr>
          <w:trHeight w:val="285" w:hRule="atLeast"/>
          <w:jc w:val="center"/>
        </w:trPr>
        <w:tc>
          <w:tcPr>
            <w:tcW w:w="53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3</w:t>
            </w:r>
          </w:p>
        </w:tc>
        <w:tc>
          <w:tcPr>
            <w:tcW w:w="1222" w:type="dxa"/>
            <w:vMerge w:val="restart"/>
            <w:tcBorders>
              <w:top w:val="single" w:color="auto" w:sz="4" w:space="0"/>
              <w:left w:val="single" w:color="auto"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汽车底盘构造与维修实训室</w:t>
            </w:r>
          </w:p>
        </w:tc>
        <w:tc>
          <w:tcPr>
            <w:tcW w:w="6182" w:type="dxa"/>
            <w:tcBorders>
              <w:top w:val="single" w:color="auto" w:sz="4" w:space="0"/>
              <w:left w:val="single" w:color="000000" w:sz="4" w:space="0"/>
              <w:bottom w:val="single" w:color="000000" w:sz="4" w:space="0"/>
              <w:right w:val="single" w:color="auto"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汽车前置前驱传动系解剖实物台架</w:t>
            </w:r>
          </w:p>
        </w:tc>
        <w:tc>
          <w:tcPr>
            <w:tcW w:w="1714" w:type="dxa"/>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1(1/40)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auto"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汽车前置后驱传动系解剖实物台架</w:t>
            </w:r>
          </w:p>
        </w:tc>
        <w:tc>
          <w:tcPr>
            <w:tcW w:w="1714" w:type="dxa"/>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1(1/40)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auto"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各总成实物解剖教具</w:t>
            </w:r>
          </w:p>
        </w:tc>
        <w:tc>
          <w:tcPr>
            <w:tcW w:w="1714" w:type="dxa"/>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1(1/40)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auto"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汽车前置前驱传动系实训台架</w:t>
            </w:r>
          </w:p>
        </w:tc>
        <w:tc>
          <w:tcPr>
            <w:tcW w:w="1714" w:type="dxa"/>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4(1/8)</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auto"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汽车前置后驱传动系实训台架</w:t>
            </w:r>
          </w:p>
        </w:tc>
        <w:tc>
          <w:tcPr>
            <w:tcW w:w="1714" w:type="dxa"/>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4(1/8)</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auto"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自动变速器实训台架</w:t>
            </w:r>
          </w:p>
        </w:tc>
        <w:tc>
          <w:tcPr>
            <w:tcW w:w="1714" w:type="dxa"/>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4(1/8)</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auto"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自动变速器总成</w:t>
            </w:r>
          </w:p>
        </w:tc>
        <w:tc>
          <w:tcPr>
            <w:tcW w:w="1714" w:type="dxa"/>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8(1/5)</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auto"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自动变速器实物解剖教具</w:t>
            </w:r>
          </w:p>
        </w:tc>
        <w:tc>
          <w:tcPr>
            <w:tcW w:w="1714" w:type="dxa"/>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2(1/20)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auto"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机械转向系及前桥实训台架</w:t>
            </w:r>
          </w:p>
        </w:tc>
        <w:tc>
          <w:tcPr>
            <w:tcW w:w="1714" w:type="dxa"/>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8(1/5)</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auto"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动力转向系及前桥实训台架</w:t>
            </w:r>
          </w:p>
        </w:tc>
        <w:tc>
          <w:tcPr>
            <w:tcW w:w="1714" w:type="dxa"/>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8(1/5)</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auto"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电控动力转向示教实训台架</w:t>
            </w:r>
          </w:p>
        </w:tc>
        <w:tc>
          <w:tcPr>
            <w:tcW w:w="1714" w:type="dxa"/>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1(1/40)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auto"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电控悬架示教实训台架</w:t>
            </w:r>
          </w:p>
        </w:tc>
        <w:tc>
          <w:tcPr>
            <w:tcW w:w="1714" w:type="dxa"/>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1(1/40)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auto"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汽车制动系（盘式制动器）实训台架</w:t>
            </w:r>
          </w:p>
        </w:tc>
        <w:tc>
          <w:tcPr>
            <w:tcW w:w="1714" w:type="dxa"/>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8(1/5)</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auto"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汽车制动系（鼓式制动器）实训台架</w:t>
            </w:r>
          </w:p>
        </w:tc>
        <w:tc>
          <w:tcPr>
            <w:tcW w:w="1714" w:type="dxa"/>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8(1/5)</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auto"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汽车ABS示教实训台架</w:t>
            </w:r>
          </w:p>
        </w:tc>
        <w:tc>
          <w:tcPr>
            <w:tcW w:w="1714" w:type="dxa"/>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1(1/40)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auto"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汽车变速器举升机</w:t>
            </w:r>
          </w:p>
        </w:tc>
        <w:tc>
          <w:tcPr>
            <w:tcW w:w="1714" w:type="dxa"/>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1(1/40)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auto"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轮胎扒胎机</w:t>
            </w:r>
          </w:p>
        </w:tc>
        <w:tc>
          <w:tcPr>
            <w:tcW w:w="1714" w:type="dxa"/>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2(1/20)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auto"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轮胎动平衡机</w:t>
            </w:r>
          </w:p>
        </w:tc>
        <w:tc>
          <w:tcPr>
            <w:tcW w:w="1714" w:type="dxa"/>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2(1/20)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auto"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汽车四轮定位仪</w:t>
            </w:r>
          </w:p>
        </w:tc>
        <w:tc>
          <w:tcPr>
            <w:tcW w:w="1714" w:type="dxa"/>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1(1/40)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auto" w:sz="4" w:space="0"/>
              <w:bottom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auto" w:sz="4" w:space="0"/>
              <w:right w:val="single" w:color="auto"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汽车底盘常用拆装工具</w:t>
            </w:r>
          </w:p>
        </w:tc>
        <w:tc>
          <w:tcPr>
            <w:tcW w:w="1714" w:type="dxa"/>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8(1/5)</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auto" w:sz="4" w:space="0"/>
              <w:left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auto"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汽车底盘维修常用量具</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8(1/5)</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汽车底盘拆装专用工具</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8(1/5)</w:t>
            </w:r>
          </w:p>
        </w:tc>
      </w:tr>
      <w:tr>
        <w:tblPrEx>
          <w:tblCellMar>
            <w:top w:w="15" w:type="dxa"/>
            <w:left w:w="15" w:type="dxa"/>
            <w:bottom w:w="15" w:type="dxa"/>
            <w:right w:w="15" w:type="dxa"/>
          </w:tblCellMar>
        </w:tblPrEx>
        <w:trPr>
          <w:trHeight w:val="285" w:hRule="atLeast"/>
          <w:jc w:val="center"/>
        </w:trPr>
        <w:tc>
          <w:tcPr>
            <w:tcW w:w="53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4</w:t>
            </w:r>
          </w:p>
        </w:tc>
        <w:tc>
          <w:tcPr>
            <w:tcW w:w="1222" w:type="dxa"/>
            <w:vMerge w:val="restart"/>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汽车发动机电器与控制系统检修实训室</w:t>
            </w: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充电系统示教实训台架</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1(1/40)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起动系统示教实训台架</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1(1/40)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汽车起动机</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8(1/5)</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汽车发电机</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8(1/5)</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汽车起动机发电机试验台</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1(1/40)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发动机电控教学示教板</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1(1/40)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电控发动机实训台架</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8(1/5)</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电控发动机传感器、执行器</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8(1/5)</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汽缸压力表</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8(1/5)</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燃油压力表</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8(1/5)</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汽车故障电脑诊断仪</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8(1/5)</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汽车专用示波器</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8(1/5)</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万用表</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8(1/5)</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汽车五气体废气分析仪</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1(1/40)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真空度检测仪</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8(1/5)</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点火正时灯</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8(1/5)</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异响听诊器</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8(1/5)</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喷射油嘴清洗机</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1(1/40)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红外测温仪</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8(1/5)</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常用工具</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8(1/5)</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汽车起动充电机</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1(1/40)</w:t>
            </w:r>
          </w:p>
        </w:tc>
      </w:tr>
      <w:tr>
        <w:tblPrEx>
          <w:tblCellMar>
            <w:top w:w="15" w:type="dxa"/>
            <w:left w:w="15" w:type="dxa"/>
            <w:bottom w:w="15" w:type="dxa"/>
            <w:right w:w="15" w:type="dxa"/>
          </w:tblCellMar>
        </w:tblPrEx>
        <w:trPr>
          <w:trHeight w:val="285" w:hRule="atLeast"/>
          <w:jc w:val="center"/>
        </w:trPr>
        <w:tc>
          <w:tcPr>
            <w:tcW w:w="532" w:type="dxa"/>
            <w:vMerge w:val="restart"/>
            <w:tcBorders>
              <w:top w:val="single" w:color="auto" w:sz="4" w:space="0"/>
              <w:left w:val="single" w:color="000000" w:sz="4" w:space="0"/>
              <w:bottom w:val="single" w:color="auto"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5</w:t>
            </w:r>
          </w:p>
        </w:tc>
        <w:tc>
          <w:tcPr>
            <w:tcW w:w="122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汽车车身电气设备检修实训室</w:t>
            </w: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车身电器实训台架</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8(1/5)</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汽车中控、防盗、电动后视镜、电动车窗示教台</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1(1/40)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汽车灯光信号仪表示教板</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1(1/40)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安全气囊示教实训台架（板）</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1(1/40)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倒车雷达示教实训台架（板）</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1(1/40)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汽车巡航示教实训台架（板）</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1(1/40)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汽车电器维修常用工具</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8(1/5)</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万用表</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8(1/5)</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汽车用试灯</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8(1/5)</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汽车起动充电机</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2(1/20)</w:t>
            </w:r>
          </w:p>
        </w:tc>
      </w:tr>
      <w:tr>
        <w:tblPrEx>
          <w:tblCellMar>
            <w:top w:w="15" w:type="dxa"/>
            <w:left w:w="15" w:type="dxa"/>
            <w:bottom w:w="15" w:type="dxa"/>
            <w:right w:w="15" w:type="dxa"/>
          </w:tblCellMar>
        </w:tblPrEx>
        <w:trPr>
          <w:trHeight w:val="285" w:hRule="atLeast"/>
          <w:jc w:val="center"/>
        </w:trPr>
        <w:tc>
          <w:tcPr>
            <w:tcW w:w="532" w:type="dxa"/>
            <w:vMerge w:val="restart"/>
            <w:tcBorders>
              <w:top w:val="single" w:color="auto" w:sz="4" w:space="0"/>
              <w:left w:val="single" w:color="000000" w:sz="4" w:space="0"/>
              <w:bottom w:val="single" w:color="auto"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6</w:t>
            </w:r>
          </w:p>
        </w:tc>
        <w:tc>
          <w:tcPr>
            <w:tcW w:w="122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汽车空调系统检修实训室</w:t>
            </w: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汽车空调管路模拟连接实训台架</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8(1/5)</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汽车手动空调电路连接实训台架</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8(1/5)</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汽车手动空调实训台架</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8(1/5)</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汽车自动空调实训台架</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8(1/5)</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荧光/电子测漏仪</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8(1/5)</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电子温湿度计</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8(1/5)</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冷媒回收加注机</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2(1/20)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汽车空调歧管压力表组</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8(1/5)</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汽车空调维修用真空泵</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8(1/5)</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汽车空调常用维修工具</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8(1/5)</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万用表</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8(1/5)</w:t>
            </w:r>
          </w:p>
        </w:tc>
      </w:tr>
      <w:tr>
        <w:tblPrEx>
          <w:tblCellMar>
            <w:top w:w="15" w:type="dxa"/>
            <w:left w:w="15" w:type="dxa"/>
            <w:bottom w:w="15" w:type="dxa"/>
            <w:right w:w="15" w:type="dxa"/>
          </w:tblCellMar>
        </w:tblPrEx>
        <w:trPr>
          <w:trHeight w:val="285" w:hRule="atLeast"/>
          <w:jc w:val="center"/>
        </w:trPr>
        <w:tc>
          <w:tcPr>
            <w:tcW w:w="532" w:type="dxa"/>
            <w:vMerge w:val="restart"/>
            <w:tcBorders>
              <w:top w:val="single" w:color="auto" w:sz="4" w:space="0"/>
              <w:left w:val="single" w:color="000000" w:sz="4" w:space="0"/>
              <w:bottom w:val="single" w:color="auto"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7</w:t>
            </w:r>
          </w:p>
        </w:tc>
        <w:tc>
          <w:tcPr>
            <w:tcW w:w="122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汽车维修工考证实训室</w:t>
            </w: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汽车发动机自动变速器实训台架</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2(1/20)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汽车故障电脑诊断仪</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2(1/20)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汽车专用万用表</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2(1/20)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汽油机汽缸压力表</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2(1/20)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汽车发动机总成及拆装翻转台架</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2(1/20)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离合器手动变速器实训台架</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2(1/20)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主减速器拆装检测实训台架</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2(1/20)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转向系及前桥实训台架</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2(1/20)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制动系实训台架</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2(1/20)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汽车五气体废气分析仪</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1(1/40)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汽车维修常用工具</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8(1/5)</w:t>
            </w:r>
          </w:p>
        </w:tc>
      </w:tr>
      <w:tr>
        <w:tblPrEx>
          <w:tblCellMar>
            <w:top w:w="15" w:type="dxa"/>
            <w:left w:w="15" w:type="dxa"/>
            <w:bottom w:w="15" w:type="dxa"/>
            <w:right w:w="15" w:type="dxa"/>
          </w:tblCellMar>
        </w:tblPrEx>
        <w:trPr>
          <w:trHeight w:val="285" w:hRule="atLeast"/>
          <w:jc w:val="center"/>
        </w:trPr>
        <w:tc>
          <w:tcPr>
            <w:tcW w:w="532" w:type="dxa"/>
            <w:vMerge w:val="restart"/>
            <w:tcBorders>
              <w:top w:val="single" w:color="auto" w:sz="4" w:space="0"/>
              <w:left w:val="single" w:color="000000" w:sz="4" w:space="0"/>
              <w:bottom w:val="single" w:color="auto"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8</w:t>
            </w:r>
          </w:p>
        </w:tc>
        <w:tc>
          <w:tcPr>
            <w:tcW w:w="122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汽车维修业务接待实训室</w:t>
            </w: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实训轿车（可共用）</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2(1/20)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汽车维修业务接待工位</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2(1/20)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汽车维修业务接待管理系统</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1(1/40)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电脑</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20(1/2)</w:t>
            </w:r>
          </w:p>
        </w:tc>
      </w:tr>
      <w:tr>
        <w:tblPrEx>
          <w:tblCellMar>
            <w:top w:w="15" w:type="dxa"/>
            <w:left w:w="15" w:type="dxa"/>
            <w:bottom w:w="15" w:type="dxa"/>
            <w:right w:w="15" w:type="dxa"/>
          </w:tblCellMar>
        </w:tblPrEx>
        <w:trPr>
          <w:trHeight w:val="285" w:hRule="atLeast"/>
          <w:jc w:val="center"/>
        </w:trPr>
        <w:tc>
          <w:tcPr>
            <w:tcW w:w="532" w:type="dxa"/>
            <w:vMerge w:val="restart"/>
            <w:tcBorders>
              <w:top w:val="single" w:color="auto" w:sz="4" w:space="0"/>
              <w:left w:val="single" w:color="000000" w:sz="4" w:space="0"/>
              <w:bottom w:val="single" w:color="auto"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9</w:t>
            </w:r>
          </w:p>
        </w:tc>
        <w:tc>
          <w:tcPr>
            <w:tcW w:w="122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汽车整车实训场</w:t>
            </w: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实训轿车（可共用）</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8(1/5)</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汽车维修举升机</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8(1/5)</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压缩空气站及管路系统</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1(1/40)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尾气排气设施</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1(1/40)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cs="仿宋_GB2312"/>
                <w:sz w:val="21"/>
                <w:szCs w:val="21"/>
              </w:rPr>
            </w:pPr>
            <w:r>
              <w:rPr>
                <w:rFonts w:ascii="仿宋_GB2312" w:hAnsi="宋体" w:cs="仿宋_GB2312"/>
                <w:kern w:val="0"/>
                <w:sz w:val="21"/>
                <w:szCs w:val="21"/>
                <w:lang w:bidi="ar"/>
              </w:rPr>
              <w:t>汽车定期维护常用工量具</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cs="仿宋_GB2312"/>
                <w:sz w:val="21"/>
                <w:szCs w:val="21"/>
              </w:rPr>
            </w:pPr>
            <w:r>
              <w:rPr>
                <w:rFonts w:ascii="仿宋_GB2312" w:hAnsi="宋体" w:cs="仿宋_GB2312"/>
                <w:kern w:val="0"/>
                <w:sz w:val="21"/>
                <w:szCs w:val="21"/>
                <w:lang w:bidi="ar"/>
              </w:rPr>
              <w:t>8(1/5)</w:t>
            </w:r>
          </w:p>
        </w:tc>
      </w:tr>
      <w:tr>
        <w:tblPrEx>
          <w:tblCellMar>
            <w:top w:w="15" w:type="dxa"/>
            <w:left w:w="15" w:type="dxa"/>
            <w:bottom w:w="15" w:type="dxa"/>
            <w:right w:w="15" w:type="dxa"/>
          </w:tblCellMar>
        </w:tblPrEx>
        <w:trPr>
          <w:trHeight w:val="285" w:hRule="atLeast"/>
          <w:jc w:val="center"/>
        </w:trPr>
        <w:tc>
          <w:tcPr>
            <w:tcW w:w="532" w:type="dxa"/>
            <w:vMerge w:val="restart"/>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ascii="仿宋_GB2312" w:hAnsi="宋体" w:cs="仿宋_GB2312"/>
                <w:sz w:val="21"/>
                <w:szCs w:val="21"/>
              </w:rPr>
            </w:pPr>
            <w:r>
              <w:rPr>
                <w:rFonts w:hint="eastAsia" w:ascii="仿宋_GB2312" w:hAnsi="宋体" w:cs="仿宋_GB2312"/>
                <w:sz w:val="21"/>
                <w:szCs w:val="21"/>
              </w:rPr>
              <w:t>10</w:t>
            </w:r>
          </w:p>
        </w:tc>
        <w:tc>
          <w:tcPr>
            <w:tcW w:w="122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cs="仿宋_GB2312"/>
                <w:sz w:val="21"/>
                <w:szCs w:val="21"/>
              </w:rPr>
            </w:pPr>
            <w:r>
              <w:rPr>
                <w:rFonts w:hint="eastAsia" w:ascii="仿宋_GB2312" w:hAnsi="仿宋_GB2312" w:cs="仿宋_GB2312"/>
                <w:kern w:val="0"/>
                <w:sz w:val="21"/>
                <w:szCs w:val="21"/>
                <w:lang w:bidi="ar"/>
              </w:rPr>
              <w:t>汽车综合实训室</w:t>
            </w: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仿宋_GB2312" w:cs="仿宋_GB2312"/>
                <w:sz w:val="21"/>
                <w:szCs w:val="21"/>
              </w:rPr>
            </w:pPr>
            <w:r>
              <w:rPr>
                <w:rFonts w:hint="eastAsia" w:ascii="仿宋_GB2312" w:hAnsi="仿宋_GB2312" w:cs="仿宋_GB2312"/>
                <w:kern w:val="0"/>
                <w:sz w:val="21"/>
                <w:szCs w:val="21"/>
                <w:lang w:bidi="ar"/>
              </w:rPr>
              <w:t>实训轿车（可共用）</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cs="仿宋_GB2312"/>
                <w:sz w:val="21"/>
                <w:szCs w:val="21"/>
              </w:rPr>
            </w:pPr>
            <w:r>
              <w:rPr>
                <w:rFonts w:hint="eastAsia" w:ascii="仿宋_GB2312" w:hAnsi="仿宋_GB2312" w:cs="仿宋_GB2312"/>
                <w:kern w:val="0"/>
                <w:sz w:val="21"/>
                <w:szCs w:val="21"/>
                <w:lang w:bidi="ar"/>
              </w:rPr>
              <w:t>2(1/20)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仿宋_GB2312"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仿宋_GB2312" w:cs="仿宋_GB2312"/>
                <w:sz w:val="21"/>
                <w:szCs w:val="21"/>
              </w:rPr>
            </w:pPr>
            <w:r>
              <w:rPr>
                <w:rFonts w:hint="eastAsia" w:ascii="仿宋_GB2312" w:hAnsi="仿宋_GB2312" w:cs="仿宋_GB2312"/>
                <w:kern w:val="0"/>
                <w:sz w:val="21"/>
                <w:szCs w:val="21"/>
                <w:lang w:bidi="ar"/>
              </w:rPr>
              <w:t>汽车四轮定位用举升机</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cs="仿宋_GB2312"/>
                <w:sz w:val="21"/>
                <w:szCs w:val="21"/>
              </w:rPr>
            </w:pPr>
            <w:r>
              <w:rPr>
                <w:rFonts w:hint="eastAsia" w:ascii="仿宋_GB2312" w:hAnsi="仿宋_GB2312" w:cs="仿宋_GB2312"/>
                <w:kern w:val="0"/>
                <w:sz w:val="21"/>
                <w:szCs w:val="21"/>
                <w:lang w:bidi="ar"/>
              </w:rPr>
              <w:t>1(1/40)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仿宋_GB2312"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仿宋_GB2312" w:cs="仿宋_GB2312"/>
                <w:sz w:val="21"/>
                <w:szCs w:val="21"/>
              </w:rPr>
            </w:pPr>
            <w:r>
              <w:rPr>
                <w:rFonts w:hint="eastAsia" w:ascii="仿宋_GB2312" w:hAnsi="仿宋_GB2312" w:cs="仿宋_GB2312"/>
                <w:kern w:val="0"/>
                <w:sz w:val="21"/>
                <w:szCs w:val="21"/>
                <w:lang w:bidi="ar"/>
              </w:rPr>
              <w:t>四轮定位仪</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cs="仿宋_GB2312"/>
                <w:sz w:val="21"/>
                <w:szCs w:val="21"/>
              </w:rPr>
            </w:pPr>
            <w:r>
              <w:rPr>
                <w:rFonts w:hint="eastAsia" w:ascii="仿宋_GB2312" w:hAnsi="仿宋_GB2312" w:cs="仿宋_GB2312"/>
                <w:kern w:val="0"/>
                <w:sz w:val="21"/>
                <w:szCs w:val="21"/>
                <w:lang w:bidi="ar"/>
              </w:rPr>
              <w:t>1(1/40)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仿宋_GB2312"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cs="仿宋_GB2312"/>
                <w:sz w:val="21"/>
                <w:szCs w:val="21"/>
              </w:rPr>
            </w:pPr>
            <w:r>
              <w:rPr>
                <w:rFonts w:hint="eastAsia" w:ascii="仿宋_GB2312" w:hAnsi="仿宋_GB2312" w:cs="仿宋_GB2312"/>
                <w:kern w:val="0"/>
                <w:sz w:val="21"/>
                <w:szCs w:val="21"/>
                <w:lang w:bidi="ar"/>
              </w:rPr>
              <w:t>车速表试验台</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cs="仿宋_GB2312"/>
                <w:sz w:val="21"/>
                <w:szCs w:val="21"/>
              </w:rPr>
            </w:pPr>
            <w:r>
              <w:rPr>
                <w:rFonts w:hint="eastAsia" w:ascii="仿宋_GB2312" w:hAnsi="仿宋_GB2312" w:cs="仿宋_GB2312"/>
                <w:kern w:val="0"/>
                <w:sz w:val="21"/>
                <w:szCs w:val="21"/>
                <w:lang w:bidi="ar"/>
              </w:rPr>
              <w:t>1(1/40)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仿宋_GB2312"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cs="仿宋_GB2312"/>
                <w:sz w:val="21"/>
                <w:szCs w:val="21"/>
              </w:rPr>
            </w:pPr>
            <w:r>
              <w:rPr>
                <w:rFonts w:hint="eastAsia" w:ascii="仿宋_GB2312" w:hAnsi="仿宋_GB2312" w:cs="仿宋_GB2312"/>
                <w:kern w:val="0"/>
                <w:sz w:val="21"/>
                <w:szCs w:val="21"/>
                <w:lang w:bidi="ar"/>
              </w:rPr>
              <w:t>灯光检测仪</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cs="仿宋_GB2312"/>
                <w:sz w:val="21"/>
                <w:szCs w:val="21"/>
              </w:rPr>
            </w:pPr>
            <w:r>
              <w:rPr>
                <w:rFonts w:hint="eastAsia" w:ascii="仿宋_GB2312" w:hAnsi="仿宋_GB2312" w:cs="仿宋_GB2312"/>
                <w:kern w:val="0"/>
                <w:sz w:val="21"/>
                <w:szCs w:val="21"/>
                <w:lang w:bidi="ar"/>
              </w:rPr>
              <w:t>1(1/40)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仿宋_GB2312"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cs="仿宋_GB2312"/>
                <w:sz w:val="21"/>
                <w:szCs w:val="21"/>
              </w:rPr>
            </w:pPr>
            <w:r>
              <w:rPr>
                <w:rFonts w:hint="eastAsia" w:ascii="仿宋_GB2312" w:hAnsi="仿宋_GB2312" w:cs="仿宋_GB2312"/>
                <w:kern w:val="0"/>
                <w:sz w:val="21"/>
                <w:szCs w:val="21"/>
                <w:lang w:bidi="ar"/>
              </w:rPr>
              <w:t>噪声检测仪</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cs="仿宋_GB2312"/>
                <w:sz w:val="21"/>
                <w:szCs w:val="21"/>
              </w:rPr>
            </w:pPr>
            <w:r>
              <w:rPr>
                <w:rFonts w:hint="eastAsia" w:ascii="仿宋_GB2312" w:hAnsi="仿宋_GB2312" w:cs="仿宋_GB2312"/>
                <w:kern w:val="0"/>
                <w:sz w:val="21"/>
                <w:szCs w:val="21"/>
                <w:lang w:bidi="ar"/>
              </w:rPr>
              <w:t>1(1/40)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仿宋_GB2312"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cs="仿宋_GB2312"/>
                <w:sz w:val="21"/>
                <w:szCs w:val="21"/>
              </w:rPr>
            </w:pPr>
            <w:r>
              <w:rPr>
                <w:rFonts w:hint="eastAsia" w:ascii="仿宋_GB2312" w:hAnsi="仿宋_GB2312" w:cs="仿宋_GB2312"/>
                <w:kern w:val="0"/>
                <w:sz w:val="21"/>
                <w:szCs w:val="21"/>
                <w:lang w:bidi="ar"/>
              </w:rPr>
              <w:t>发动机综合性能检测仪</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cs="仿宋_GB2312"/>
                <w:sz w:val="21"/>
                <w:szCs w:val="21"/>
              </w:rPr>
            </w:pPr>
            <w:r>
              <w:rPr>
                <w:rFonts w:hint="eastAsia" w:ascii="仿宋_GB2312" w:hAnsi="仿宋_GB2312" w:cs="仿宋_GB2312"/>
                <w:kern w:val="0"/>
                <w:sz w:val="21"/>
                <w:szCs w:val="21"/>
                <w:lang w:bidi="ar"/>
              </w:rPr>
              <w:t>1(1/40)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仿宋_GB2312"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cs="仿宋_GB2312"/>
                <w:sz w:val="21"/>
                <w:szCs w:val="21"/>
              </w:rPr>
            </w:pPr>
            <w:r>
              <w:rPr>
                <w:rFonts w:hint="eastAsia" w:ascii="仿宋_GB2312" w:hAnsi="仿宋_GB2312" w:cs="仿宋_GB2312"/>
                <w:kern w:val="0"/>
                <w:sz w:val="21"/>
                <w:szCs w:val="21"/>
                <w:lang w:bidi="ar"/>
              </w:rPr>
              <w:t>汽车故障电脑诊断仪</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cs="仿宋_GB2312"/>
                <w:sz w:val="21"/>
                <w:szCs w:val="21"/>
              </w:rPr>
            </w:pPr>
            <w:r>
              <w:rPr>
                <w:rFonts w:hint="eastAsia" w:ascii="仿宋_GB2312" w:hAnsi="仿宋_GB2312" w:cs="仿宋_GB2312"/>
                <w:kern w:val="0"/>
                <w:sz w:val="21"/>
                <w:szCs w:val="21"/>
                <w:lang w:bidi="ar"/>
              </w:rPr>
              <w:t>1(1/40)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仿宋_GB2312"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cs="仿宋_GB2312"/>
                <w:sz w:val="21"/>
                <w:szCs w:val="21"/>
              </w:rPr>
            </w:pPr>
            <w:r>
              <w:rPr>
                <w:rFonts w:hint="eastAsia" w:ascii="仿宋_GB2312" w:hAnsi="仿宋_GB2312" w:cs="仿宋_GB2312"/>
                <w:kern w:val="0"/>
                <w:sz w:val="21"/>
                <w:szCs w:val="21"/>
                <w:lang w:bidi="ar"/>
              </w:rPr>
              <w:t>汽车维修常用工具及工具车</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cs="仿宋_GB2312"/>
                <w:sz w:val="21"/>
                <w:szCs w:val="21"/>
              </w:rPr>
            </w:pPr>
            <w:r>
              <w:rPr>
                <w:rFonts w:hint="eastAsia" w:ascii="仿宋_GB2312" w:hAnsi="仿宋_GB2312" w:cs="仿宋_GB2312"/>
                <w:kern w:val="0"/>
                <w:sz w:val="21"/>
                <w:szCs w:val="21"/>
                <w:lang w:bidi="ar"/>
              </w:rPr>
              <w:t>1(1/40)</w:t>
            </w:r>
          </w:p>
        </w:tc>
      </w:tr>
      <w:tr>
        <w:tblPrEx>
          <w:tblCellMar>
            <w:top w:w="15" w:type="dxa"/>
            <w:left w:w="15" w:type="dxa"/>
            <w:bottom w:w="15" w:type="dxa"/>
            <w:right w:w="15" w:type="dxa"/>
          </w:tblCellMar>
        </w:tblPrEx>
        <w:trPr>
          <w:trHeight w:val="285" w:hRule="atLeast"/>
          <w:jc w:val="center"/>
        </w:trPr>
        <w:tc>
          <w:tcPr>
            <w:tcW w:w="532" w:type="dxa"/>
            <w:vMerge w:val="restart"/>
            <w:tcBorders>
              <w:top w:val="single" w:color="auto" w:sz="4" w:space="0"/>
              <w:left w:val="single" w:color="000000" w:sz="4" w:space="0"/>
              <w:right w:val="single" w:color="000000" w:sz="4" w:space="0"/>
            </w:tcBorders>
            <w:shd w:val="clear" w:color="auto" w:fill="FFFFFF"/>
            <w:vAlign w:val="center"/>
          </w:tcPr>
          <w:p>
            <w:pPr>
              <w:jc w:val="center"/>
              <w:rPr>
                <w:rFonts w:ascii="仿宋_GB2312" w:hAnsi="宋体" w:cs="仿宋_GB2312"/>
                <w:sz w:val="21"/>
                <w:szCs w:val="21"/>
              </w:rPr>
            </w:pPr>
            <w:r>
              <w:rPr>
                <w:rFonts w:hint="eastAsia" w:ascii="仿宋_GB2312" w:hAnsi="宋体" w:cs="仿宋_GB2312"/>
                <w:sz w:val="21"/>
                <w:szCs w:val="21"/>
              </w:rPr>
              <w:t>11</w:t>
            </w:r>
          </w:p>
        </w:tc>
        <w:tc>
          <w:tcPr>
            <w:tcW w:w="1222" w:type="dxa"/>
            <w:vMerge w:val="restart"/>
            <w:tcBorders>
              <w:top w:val="single" w:color="000000" w:sz="4" w:space="0"/>
              <w:left w:val="single" w:color="000000" w:sz="4" w:space="0"/>
              <w:right w:val="single" w:color="000000" w:sz="4" w:space="0"/>
            </w:tcBorders>
            <w:shd w:val="clear" w:color="auto" w:fill="FFFFFF"/>
            <w:vAlign w:val="center"/>
          </w:tcPr>
          <w:p>
            <w:pPr>
              <w:jc w:val="center"/>
              <w:rPr>
                <w:rFonts w:ascii="仿宋_GB2312" w:hAnsi="仿宋_GB2312" w:cs="仿宋_GB2312"/>
                <w:sz w:val="21"/>
                <w:szCs w:val="21"/>
              </w:rPr>
            </w:pPr>
            <w:r>
              <w:rPr>
                <w:rFonts w:ascii="仿宋_GB2312" w:hAnsi="仿宋_GB2312" w:cs="仿宋_GB2312"/>
                <w:sz w:val="21"/>
                <w:szCs w:val="21"/>
              </w:rPr>
              <w:t>新能源汽车实训室</w:t>
            </w:r>
          </w:p>
        </w:tc>
        <w:tc>
          <w:tcPr>
            <w:tcW w:w="61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cs="仿宋_GB2312"/>
                <w:kern w:val="0"/>
                <w:sz w:val="21"/>
                <w:szCs w:val="21"/>
                <w:lang w:bidi="ar"/>
              </w:rPr>
            </w:pPr>
            <w:r>
              <w:rPr>
                <w:rFonts w:hint="eastAsia" w:ascii="仿宋_GB2312" w:hAnsi="仿宋_GB2312" w:cs="仿宋_GB2312"/>
                <w:kern w:val="0"/>
                <w:sz w:val="21"/>
                <w:szCs w:val="21"/>
                <w:lang w:bidi="ar"/>
              </w:rPr>
              <w:t>吉利EV500整车</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cs="仿宋_GB2312"/>
                <w:kern w:val="0"/>
                <w:sz w:val="21"/>
                <w:szCs w:val="21"/>
                <w:lang w:bidi="ar"/>
              </w:rPr>
            </w:pPr>
            <w:r>
              <w:rPr>
                <w:rFonts w:hint="eastAsia" w:ascii="仿宋_GB2312" w:hAnsi="仿宋_GB2312" w:cs="仿宋_GB2312"/>
                <w:kern w:val="0"/>
                <w:sz w:val="21"/>
                <w:szCs w:val="21"/>
                <w:lang w:bidi="ar"/>
              </w:rPr>
              <w:t>1（2/40）</w:t>
            </w:r>
          </w:p>
        </w:tc>
      </w:tr>
      <w:tr>
        <w:tblPrEx>
          <w:tblCellMar>
            <w:top w:w="15" w:type="dxa"/>
            <w:left w:w="15" w:type="dxa"/>
            <w:bottom w:w="15" w:type="dxa"/>
            <w:right w:w="15" w:type="dxa"/>
          </w:tblCellMar>
        </w:tblPrEx>
        <w:trPr>
          <w:trHeight w:val="285" w:hRule="atLeast"/>
          <w:jc w:val="center"/>
        </w:trPr>
        <w:tc>
          <w:tcPr>
            <w:tcW w:w="532" w:type="dxa"/>
            <w:vMerge w:val="continue"/>
            <w:tcBorders>
              <w:left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1222" w:type="dxa"/>
            <w:vMerge w:val="continue"/>
            <w:tcBorders>
              <w:left w:val="single" w:color="000000" w:sz="4" w:space="0"/>
              <w:right w:val="single" w:color="000000" w:sz="4" w:space="0"/>
            </w:tcBorders>
            <w:shd w:val="clear" w:color="auto" w:fill="FFFFFF"/>
            <w:vAlign w:val="center"/>
          </w:tcPr>
          <w:p>
            <w:pPr>
              <w:jc w:val="center"/>
              <w:rPr>
                <w:rFonts w:ascii="仿宋_GB2312" w:hAnsi="仿宋_GB2312"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cs="仿宋_GB2312"/>
                <w:kern w:val="0"/>
                <w:sz w:val="21"/>
                <w:szCs w:val="21"/>
                <w:lang w:bidi="ar"/>
              </w:rPr>
            </w:pPr>
            <w:r>
              <w:rPr>
                <w:rFonts w:hint="eastAsia" w:ascii="仿宋_GB2312" w:hAnsi="仿宋_GB2312" w:cs="仿宋_GB2312"/>
                <w:kern w:val="0"/>
                <w:sz w:val="21"/>
                <w:szCs w:val="21"/>
                <w:lang w:bidi="ar"/>
              </w:rPr>
              <w:t>北汽EV130整车平台</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cs="仿宋_GB2312"/>
                <w:kern w:val="0"/>
                <w:sz w:val="21"/>
                <w:szCs w:val="21"/>
                <w:lang w:bidi="ar"/>
              </w:rPr>
            </w:pPr>
            <w:r>
              <w:rPr>
                <w:rFonts w:hint="eastAsia" w:ascii="仿宋_GB2312" w:hAnsi="仿宋_GB2312" w:cs="仿宋_GB2312"/>
                <w:kern w:val="0"/>
                <w:sz w:val="21"/>
                <w:szCs w:val="21"/>
                <w:lang w:bidi="ar"/>
              </w:rPr>
              <w:t>1（2/40）</w:t>
            </w:r>
          </w:p>
        </w:tc>
      </w:tr>
      <w:tr>
        <w:tblPrEx>
          <w:tblCellMar>
            <w:top w:w="15" w:type="dxa"/>
            <w:left w:w="15" w:type="dxa"/>
            <w:bottom w:w="15" w:type="dxa"/>
            <w:right w:w="15" w:type="dxa"/>
          </w:tblCellMar>
        </w:tblPrEx>
        <w:trPr>
          <w:trHeight w:val="285" w:hRule="atLeast"/>
          <w:jc w:val="center"/>
        </w:trPr>
        <w:tc>
          <w:tcPr>
            <w:tcW w:w="532" w:type="dxa"/>
            <w:vMerge w:val="continue"/>
            <w:tcBorders>
              <w:left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1222" w:type="dxa"/>
            <w:vMerge w:val="continue"/>
            <w:tcBorders>
              <w:left w:val="single" w:color="000000" w:sz="4" w:space="0"/>
              <w:right w:val="single" w:color="000000" w:sz="4" w:space="0"/>
            </w:tcBorders>
            <w:shd w:val="clear" w:color="auto" w:fill="FFFFFF"/>
            <w:vAlign w:val="center"/>
          </w:tcPr>
          <w:p>
            <w:pPr>
              <w:jc w:val="center"/>
              <w:rPr>
                <w:rFonts w:ascii="仿宋_GB2312" w:hAnsi="仿宋_GB2312"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cs="仿宋_GB2312"/>
                <w:kern w:val="0"/>
                <w:sz w:val="21"/>
                <w:szCs w:val="21"/>
                <w:lang w:bidi="ar"/>
              </w:rPr>
            </w:pPr>
            <w:r>
              <w:rPr>
                <w:rFonts w:hint="eastAsia" w:ascii="仿宋_GB2312" w:hAnsi="仿宋_GB2312" w:cs="仿宋_GB2312"/>
                <w:kern w:val="0"/>
                <w:sz w:val="21"/>
                <w:szCs w:val="21"/>
                <w:lang w:bidi="ar"/>
              </w:rPr>
              <w:t>交互式教学系统</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cs="仿宋_GB2312"/>
                <w:kern w:val="0"/>
                <w:sz w:val="21"/>
                <w:szCs w:val="21"/>
                <w:lang w:bidi="ar"/>
              </w:rPr>
            </w:pPr>
            <w:r>
              <w:rPr>
                <w:rFonts w:hint="eastAsia" w:ascii="仿宋_GB2312" w:hAnsi="仿宋_GB2312" w:cs="仿宋_GB2312"/>
                <w:kern w:val="0"/>
                <w:sz w:val="21"/>
                <w:szCs w:val="21"/>
                <w:lang w:bidi="ar"/>
              </w:rPr>
              <w:t>1(1/40)</w:t>
            </w:r>
          </w:p>
        </w:tc>
      </w:tr>
      <w:tr>
        <w:tblPrEx>
          <w:tblCellMar>
            <w:top w:w="15" w:type="dxa"/>
            <w:left w:w="15" w:type="dxa"/>
            <w:bottom w:w="15" w:type="dxa"/>
            <w:right w:w="15" w:type="dxa"/>
          </w:tblCellMar>
        </w:tblPrEx>
        <w:trPr>
          <w:trHeight w:val="285" w:hRule="atLeast"/>
          <w:jc w:val="center"/>
        </w:trPr>
        <w:tc>
          <w:tcPr>
            <w:tcW w:w="532" w:type="dxa"/>
            <w:vMerge w:val="continue"/>
            <w:tcBorders>
              <w:left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1222" w:type="dxa"/>
            <w:vMerge w:val="continue"/>
            <w:tcBorders>
              <w:left w:val="single" w:color="000000" w:sz="4" w:space="0"/>
              <w:right w:val="single" w:color="000000" w:sz="4" w:space="0"/>
            </w:tcBorders>
            <w:shd w:val="clear" w:color="auto" w:fill="FFFFFF"/>
            <w:vAlign w:val="center"/>
          </w:tcPr>
          <w:p>
            <w:pPr>
              <w:jc w:val="center"/>
              <w:rPr>
                <w:rFonts w:ascii="仿宋_GB2312" w:hAnsi="仿宋_GB2312"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cs="仿宋_GB2312"/>
                <w:kern w:val="0"/>
                <w:sz w:val="21"/>
                <w:szCs w:val="21"/>
                <w:lang w:bidi="ar"/>
              </w:rPr>
            </w:pPr>
            <w:r>
              <w:rPr>
                <w:rFonts w:hint="eastAsia" w:ascii="仿宋_GB2312" w:hAnsi="仿宋_GB2312" w:cs="仿宋_GB2312"/>
                <w:kern w:val="0"/>
                <w:sz w:val="21"/>
                <w:szCs w:val="21"/>
                <w:lang w:bidi="ar"/>
              </w:rPr>
              <w:t>充电桩</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cs="仿宋_GB2312"/>
                <w:kern w:val="0"/>
                <w:sz w:val="21"/>
                <w:szCs w:val="21"/>
                <w:lang w:bidi="ar"/>
              </w:rPr>
            </w:pPr>
            <w:r>
              <w:rPr>
                <w:rFonts w:hint="eastAsia" w:ascii="仿宋_GB2312" w:hAnsi="仿宋_GB2312" w:cs="仿宋_GB2312"/>
                <w:kern w:val="0"/>
                <w:sz w:val="21"/>
                <w:szCs w:val="21"/>
                <w:lang w:bidi="ar"/>
              </w:rPr>
              <w:t>2(2/40)</w:t>
            </w:r>
          </w:p>
        </w:tc>
      </w:tr>
      <w:tr>
        <w:tblPrEx>
          <w:tblCellMar>
            <w:top w:w="15" w:type="dxa"/>
            <w:left w:w="15" w:type="dxa"/>
            <w:bottom w:w="15" w:type="dxa"/>
            <w:right w:w="15" w:type="dxa"/>
          </w:tblCellMar>
        </w:tblPrEx>
        <w:trPr>
          <w:trHeight w:val="285" w:hRule="atLeast"/>
          <w:jc w:val="center"/>
        </w:trPr>
        <w:tc>
          <w:tcPr>
            <w:tcW w:w="532" w:type="dxa"/>
            <w:vMerge w:val="continue"/>
            <w:tcBorders>
              <w:left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1222" w:type="dxa"/>
            <w:vMerge w:val="continue"/>
            <w:tcBorders>
              <w:left w:val="single" w:color="000000" w:sz="4" w:space="0"/>
              <w:right w:val="single" w:color="000000" w:sz="4" w:space="0"/>
            </w:tcBorders>
            <w:shd w:val="clear" w:color="auto" w:fill="FFFFFF"/>
            <w:vAlign w:val="center"/>
          </w:tcPr>
          <w:p>
            <w:pPr>
              <w:jc w:val="center"/>
              <w:rPr>
                <w:rFonts w:ascii="仿宋_GB2312" w:hAnsi="仿宋_GB2312"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cs="仿宋_GB2312"/>
                <w:kern w:val="0"/>
                <w:sz w:val="21"/>
                <w:szCs w:val="21"/>
                <w:lang w:bidi="ar"/>
              </w:rPr>
            </w:pPr>
            <w:r>
              <w:rPr>
                <w:rFonts w:hint="eastAsia" w:ascii="仿宋_GB2312" w:hAnsi="仿宋_GB2312" w:cs="仿宋_GB2312"/>
                <w:kern w:val="0"/>
                <w:sz w:val="21"/>
                <w:szCs w:val="21"/>
                <w:lang w:bidi="ar"/>
              </w:rPr>
              <w:t>智能充电桩教学系统</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cs="仿宋_GB2312"/>
                <w:kern w:val="0"/>
                <w:sz w:val="21"/>
                <w:szCs w:val="21"/>
                <w:lang w:bidi="ar"/>
              </w:rPr>
            </w:pPr>
            <w:r>
              <w:rPr>
                <w:rFonts w:hint="eastAsia" w:ascii="仿宋_GB2312" w:hAnsi="仿宋_GB2312" w:cs="仿宋_GB2312"/>
                <w:kern w:val="0"/>
                <w:sz w:val="21"/>
                <w:szCs w:val="21"/>
                <w:lang w:bidi="ar"/>
              </w:rPr>
              <w:t>1(1/40)</w:t>
            </w:r>
          </w:p>
        </w:tc>
      </w:tr>
      <w:tr>
        <w:tblPrEx>
          <w:tblCellMar>
            <w:top w:w="15" w:type="dxa"/>
            <w:left w:w="15" w:type="dxa"/>
            <w:bottom w:w="15" w:type="dxa"/>
            <w:right w:w="15" w:type="dxa"/>
          </w:tblCellMar>
        </w:tblPrEx>
        <w:trPr>
          <w:trHeight w:val="285" w:hRule="atLeast"/>
          <w:jc w:val="center"/>
        </w:trPr>
        <w:tc>
          <w:tcPr>
            <w:tcW w:w="532" w:type="dxa"/>
            <w:vMerge w:val="continue"/>
            <w:tcBorders>
              <w:left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1222" w:type="dxa"/>
            <w:vMerge w:val="continue"/>
            <w:tcBorders>
              <w:left w:val="single" w:color="000000" w:sz="4" w:space="0"/>
              <w:right w:val="single" w:color="000000" w:sz="4" w:space="0"/>
            </w:tcBorders>
            <w:shd w:val="clear" w:color="auto" w:fill="FFFFFF"/>
            <w:vAlign w:val="center"/>
          </w:tcPr>
          <w:p>
            <w:pPr>
              <w:jc w:val="center"/>
              <w:rPr>
                <w:rFonts w:ascii="仿宋_GB2312" w:hAnsi="仿宋_GB2312"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cs="仿宋_GB2312"/>
                <w:kern w:val="0"/>
                <w:sz w:val="21"/>
                <w:szCs w:val="21"/>
                <w:lang w:bidi="ar"/>
              </w:rPr>
            </w:pPr>
            <w:r>
              <w:rPr>
                <w:rFonts w:hint="eastAsia" w:ascii="仿宋_GB2312" w:hAnsi="仿宋_GB2312" w:cs="仿宋_GB2312"/>
                <w:kern w:val="0"/>
                <w:sz w:val="21"/>
                <w:szCs w:val="21"/>
                <w:lang w:bidi="ar"/>
              </w:rPr>
              <w:t>相序表、兆欧表、万用表、钳形万用表</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cs="仿宋_GB2312"/>
                <w:kern w:val="0"/>
                <w:sz w:val="21"/>
                <w:szCs w:val="21"/>
                <w:lang w:bidi="ar"/>
              </w:rPr>
            </w:pPr>
            <w:r>
              <w:rPr>
                <w:rFonts w:hint="eastAsia" w:ascii="仿宋_GB2312" w:hAnsi="仿宋_GB2312" w:cs="仿宋_GB2312"/>
                <w:kern w:val="0"/>
                <w:sz w:val="21"/>
                <w:szCs w:val="21"/>
                <w:lang w:bidi="ar"/>
              </w:rPr>
              <w:t>4(1/10)</w:t>
            </w:r>
          </w:p>
        </w:tc>
      </w:tr>
      <w:tr>
        <w:tblPrEx>
          <w:tblCellMar>
            <w:top w:w="15" w:type="dxa"/>
            <w:left w:w="15" w:type="dxa"/>
            <w:bottom w:w="15" w:type="dxa"/>
            <w:right w:w="15" w:type="dxa"/>
          </w:tblCellMar>
        </w:tblPrEx>
        <w:trPr>
          <w:trHeight w:val="285" w:hRule="atLeast"/>
          <w:jc w:val="center"/>
        </w:trPr>
        <w:tc>
          <w:tcPr>
            <w:tcW w:w="532" w:type="dxa"/>
            <w:vMerge w:val="continue"/>
            <w:tcBorders>
              <w:left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1222" w:type="dxa"/>
            <w:vMerge w:val="continue"/>
            <w:tcBorders>
              <w:left w:val="single" w:color="000000" w:sz="4" w:space="0"/>
              <w:right w:val="single" w:color="000000" w:sz="4" w:space="0"/>
            </w:tcBorders>
            <w:shd w:val="clear" w:color="auto" w:fill="FFFFFF"/>
            <w:vAlign w:val="center"/>
          </w:tcPr>
          <w:p>
            <w:pPr>
              <w:jc w:val="center"/>
              <w:rPr>
                <w:rFonts w:ascii="仿宋_GB2312" w:hAnsi="仿宋_GB2312"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cs="仿宋_GB2312"/>
                <w:kern w:val="0"/>
                <w:sz w:val="21"/>
                <w:szCs w:val="21"/>
                <w:lang w:bidi="ar"/>
              </w:rPr>
            </w:pPr>
            <w:r>
              <w:rPr>
                <w:rFonts w:hint="eastAsia" w:ascii="仿宋_GB2312" w:hAnsi="仿宋_GB2312" w:cs="仿宋_GB2312"/>
                <w:kern w:val="0"/>
                <w:sz w:val="21"/>
                <w:szCs w:val="21"/>
                <w:lang w:bidi="ar"/>
              </w:rPr>
              <w:t>故障诊断仪、手持式示波器</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cs="仿宋_GB2312"/>
                <w:kern w:val="0"/>
                <w:sz w:val="21"/>
                <w:szCs w:val="21"/>
                <w:lang w:bidi="ar"/>
              </w:rPr>
            </w:pPr>
            <w:r>
              <w:rPr>
                <w:rFonts w:hint="eastAsia" w:ascii="仿宋_GB2312" w:hAnsi="仿宋_GB2312" w:cs="仿宋_GB2312"/>
                <w:kern w:val="0"/>
                <w:sz w:val="21"/>
                <w:szCs w:val="21"/>
                <w:lang w:bidi="ar"/>
              </w:rPr>
              <w:t>1(1/40)</w:t>
            </w:r>
          </w:p>
        </w:tc>
      </w:tr>
      <w:tr>
        <w:tblPrEx>
          <w:tblCellMar>
            <w:top w:w="15" w:type="dxa"/>
            <w:left w:w="15" w:type="dxa"/>
            <w:bottom w:w="15" w:type="dxa"/>
            <w:right w:w="15" w:type="dxa"/>
          </w:tblCellMar>
        </w:tblPrEx>
        <w:trPr>
          <w:trHeight w:val="285" w:hRule="atLeast"/>
          <w:jc w:val="center"/>
        </w:trPr>
        <w:tc>
          <w:tcPr>
            <w:tcW w:w="532" w:type="dxa"/>
            <w:vMerge w:val="continue"/>
            <w:tcBorders>
              <w:left w:val="single" w:color="000000" w:sz="4" w:space="0"/>
              <w:right w:val="single" w:color="000000" w:sz="4" w:space="0"/>
            </w:tcBorders>
            <w:shd w:val="clear" w:color="auto" w:fill="FFFFFF"/>
            <w:vAlign w:val="center"/>
          </w:tcPr>
          <w:p>
            <w:pPr>
              <w:jc w:val="center"/>
              <w:rPr>
                <w:rFonts w:ascii="仿宋_GB2312" w:hAnsi="宋体" w:cs="仿宋_GB2312"/>
                <w:sz w:val="21"/>
                <w:szCs w:val="21"/>
              </w:rPr>
            </w:pPr>
          </w:p>
        </w:tc>
        <w:tc>
          <w:tcPr>
            <w:tcW w:w="1222" w:type="dxa"/>
            <w:vMerge w:val="continue"/>
            <w:tcBorders>
              <w:left w:val="single" w:color="000000" w:sz="4" w:space="0"/>
              <w:right w:val="single" w:color="000000" w:sz="4" w:space="0"/>
            </w:tcBorders>
            <w:shd w:val="clear" w:color="auto" w:fill="FFFFFF"/>
            <w:vAlign w:val="center"/>
          </w:tcPr>
          <w:p>
            <w:pPr>
              <w:jc w:val="center"/>
              <w:rPr>
                <w:rFonts w:ascii="仿宋_GB2312" w:hAnsi="仿宋_GB2312"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cs="仿宋_GB2312"/>
                <w:kern w:val="0"/>
                <w:sz w:val="21"/>
                <w:szCs w:val="21"/>
                <w:lang w:bidi="ar"/>
              </w:rPr>
            </w:pPr>
            <w:r>
              <w:rPr>
                <w:rFonts w:hint="eastAsia" w:ascii="仿宋_GB2312" w:hAnsi="仿宋_GB2312" w:cs="仿宋_GB2312"/>
                <w:kern w:val="0"/>
                <w:sz w:val="21"/>
                <w:szCs w:val="21"/>
                <w:lang w:bidi="ar"/>
              </w:rPr>
              <w:t>安全防护套装</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cs="仿宋_GB2312"/>
                <w:kern w:val="0"/>
                <w:sz w:val="21"/>
                <w:szCs w:val="21"/>
                <w:lang w:bidi="ar"/>
              </w:rPr>
            </w:pPr>
            <w:r>
              <w:rPr>
                <w:rFonts w:hint="eastAsia" w:ascii="仿宋_GB2312" w:hAnsi="仿宋_GB2312" w:cs="仿宋_GB2312"/>
                <w:kern w:val="0"/>
                <w:sz w:val="21"/>
                <w:szCs w:val="21"/>
                <w:lang w:bidi="ar"/>
              </w:rPr>
              <w:t>4(1/10)</w:t>
            </w:r>
          </w:p>
        </w:tc>
      </w:tr>
      <w:tr>
        <w:tblPrEx>
          <w:tblCellMar>
            <w:top w:w="15" w:type="dxa"/>
            <w:left w:w="15" w:type="dxa"/>
            <w:bottom w:w="15" w:type="dxa"/>
            <w:right w:w="15" w:type="dxa"/>
          </w:tblCellMar>
        </w:tblPrEx>
        <w:trPr>
          <w:trHeight w:val="285" w:hRule="atLeast"/>
          <w:jc w:val="center"/>
        </w:trPr>
        <w:tc>
          <w:tcPr>
            <w:tcW w:w="532" w:type="dxa"/>
            <w:vMerge w:val="continue"/>
            <w:tcBorders>
              <w:left w:val="single" w:color="000000" w:sz="4" w:space="0"/>
              <w:bottom w:val="single" w:color="auto" w:sz="4" w:space="0"/>
              <w:right w:val="single" w:color="000000" w:sz="4" w:space="0"/>
            </w:tcBorders>
            <w:shd w:val="clear" w:color="auto" w:fill="FFFFFF"/>
            <w:vAlign w:val="center"/>
          </w:tcPr>
          <w:p>
            <w:pPr>
              <w:jc w:val="center"/>
              <w:rPr>
                <w:rFonts w:ascii="仿宋_GB2312" w:hAnsi="宋体" w:cs="仿宋_GB2312"/>
                <w:sz w:val="21"/>
                <w:szCs w:val="21"/>
              </w:rPr>
            </w:pPr>
          </w:p>
        </w:tc>
        <w:tc>
          <w:tcPr>
            <w:tcW w:w="1222" w:type="dxa"/>
            <w:vMerge w:val="continue"/>
            <w:tcBorders>
              <w:left w:val="single" w:color="000000" w:sz="4" w:space="0"/>
              <w:bottom w:val="single" w:color="000000" w:sz="4" w:space="0"/>
              <w:right w:val="single" w:color="000000" w:sz="4" w:space="0"/>
            </w:tcBorders>
            <w:shd w:val="clear" w:color="auto" w:fill="FFFFFF"/>
            <w:vAlign w:val="center"/>
          </w:tcPr>
          <w:p>
            <w:pPr>
              <w:jc w:val="center"/>
              <w:rPr>
                <w:rFonts w:ascii="仿宋_GB2312" w:hAnsi="仿宋_GB2312" w:cs="仿宋_GB2312"/>
                <w:sz w:val="21"/>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cs="仿宋_GB2312"/>
                <w:kern w:val="0"/>
                <w:sz w:val="21"/>
                <w:szCs w:val="21"/>
                <w:lang w:bidi="ar"/>
              </w:rPr>
            </w:pPr>
            <w:r>
              <w:rPr>
                <w:rFonts w:hint="eastAsia" w:ascii="仿宋_GB2312" w:hAnsi="仿宋_GB2312" w:cs="仿宋_GB2312"/>
                <w:kern w:val="0"/>
                <w:sz w:val="21"/>
                <w:szCs w:val="21"/>
                <w:lang w:bidi="ar"/>
              </w:rPr>
              <w:t>绝缘工具套装</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cs="仿宋_GB2312"/>
                <w:kern w:val="0"/>
                <w:sz w:val="21"/>
                <w:szCs w:val="21"/>
                <w:lang w:bidi="ar"/>
              </w:rPr>
            </w:pPr>
            <w:r>
              <w:rPr>
                <w:rFonts w:hint="eastAsia" w:ascii="仿宋_GB2312" w:hAnsi="仿宋_GB2312" w:cs="仿宋_GB2312"/>
                <w:kern w:val="0"/>
                <w:sz w:val="21"/>
                <w:szCs w:val="21"/>
                <w:lang w:bidi="ar"/>
              </w:rPr>
              <w:t>2(2/40)</w:t>
            </w:r>
          </w:p>
        </w:tc>
      </w:tr>
    </w:tbl>
    <w:p>
      <w:pPr>
        <w:rPr>
          <w:rFonts w:ascii="仿宋_GB2312" w:hAnsi="仿宋_GB2312" w:cs="仿宋_GB2312"/>
          <w:sz w:val="21"/>
          <w:szCs w:val="21"/>
        </w:rPr>
      </w:pPr>
    </w:p>
    <w:p>
      <w:pPr>
        <w:pageBreakBefore w:val="0"/>
        <w:widowControl w:val="0"/>
        <w:kinsoku/>
        <w:wordWrap/>
        <w:overflowPunct/>
        <w:topLinePunct w:val="0"/>
        <w:autoSpaceDE/>
        <w:autoSpaceDN/>
        <w:bidi w:val="0"/>
        <w:adjustRightInd/>
        <w:snapToGrid/>
        <w:spacing w:line="560" w:lineRule="exact"/>
        <w:jc w:val="center"/>
        <w:textAlignment w:val="auto"/>
        <w:rPr>
          <w:rFonts w:ascii="仿宋_GB2312" w:hAnsi="仿宋_GB2312" w:cs="仿宋_GB2312"/>
          <w:sz w:val="28"/>
          <w:szCs w:val="28"/>
        </w:rPr>
      </w:pPr>
      <w:r>
        <w:rPr>
          <w:rFonts w:hint="eastAsia" w:ascii="仿宋_GB2312" w:hAnsi="仿宋_GB2312" w:cs="仿宋_GB2312"/>
          <w:sz w:val="21"/>
          <w:szCs w:val="21"/>
        </w:rPr>
        <w:t>表11 实训设备配置一览表</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2.校外实践教学条件</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本专业应建立3-4个稳定的校外实训基地和若干个顶岗实习点。重点加强与国内汽车售后服务企业、新能源汽车制造企业和规范的大中型运营企业的友好合作，共同将校外实训基地建成集学生生产实习、双师型教师培养培训和产教研的基地。根据本专业岗位实习要求，校外实训基地应满足专业教学要求，具备实训场地，设备配置满足实践一体化课程的现场教学和实训项目的开展，使学生有机会深入生产一线，了解企业实际，体验企业文化，保证学生的本专业技能训练进一步延续和提升。</w:t>
      </w:r>
    </w:p>
    <w:p>
      <w:pPr>
        <w:pStyle w:val="3"/>
        <w:pageBreakBefore w:val="0"/>
        <w:widowControl w:val="0"/>
        <w:kinsoku/>
        <w:wordWrap/>
        <w:overflowPunct/>
        <w:topLinePunct w:val="0"/>
        <w:autoSpaceDE/>
        <w:autoSpaceDN/>
        <w:bidi w:val="0"/>
        <w:adjustRightInd/>
        <w:snapToGrid/>
        <w:spacing w:before="0" w:after="0" w:line="560" w:lineRule="exact"/>
        <w:ind w:firstLine="562" w:firstLineChars="200"/>
        <w:textAlignment w:val="auto"/>
        <w:rPr>
          <w:rFonts w:ascii="仿宋_GB2312" w:hAnsi="仿宋_GB2312" w:cs="仿宋_GB2312"/>
          <w:szCs w:val="28"/>
        </w:rPr>
      </w:pPr>
      <w:bookmarkStart w:id="98" w:name="_Toc6129"/>
      <w:bookmarkStart w:id="99" w:name="_Toc11614"/>
      <w:bookmarkStart w:id="100" w:name="_Toc28654"/>
      <w:r>
        <w:rPr>
          <w:rFonts w:hint="eastAsia" w:ascii="仿宋_GB2312" w:hAnsi="仿宋_GB2312" w:cs="仿宋_GB2312"/>
          <w:szCs w:val="28"/>
        </w:rPr>
        <w:t>（三）</w:t>
      </w:r>
      <w:r>
        <w:rPr>
          <w:rFonts w:hint="eastAsia" w:ascii="仿宋_GB2312" w:hAnsi="仿宋_GB2312" w:cs="仿宋_GB2312"/>
          <w:szCs w:val="28"/>
          <w:lang w:val="zh-CN"/>
        </w:rPr>
        <w:t>教</w:t>
      </w:r>
      <w:r>
        <w:rPr>
          <w:rFonts w:hint="eastAsia" w:ascii="仿宋_GB2312" w:hAnsi="仿宋_GB2312" w:cs="仿宋_GB2312"/>
          <w:szCs w:val="28"/>
        </w:rPr>
        <w:t>学资源</w:t>
      </w:r>
      <w:bookmarkEnd w:id="98"/>
      <w:bookmarkEnd w:id="99"/>
      <w:bookmarkEnd w:id="100"/>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1.教材选用：本专业所有公共基础课教材和专业课教材首选用中等职业教育国家规划教材，专业课程应积极使用新型活页式、工作手册式教材；如没有国家规划教材，可以选用市级规划教材；如没有市级规划教材，可以选用自编校本教材，自编校本教材应由教务处会同专业部统筹安排，并报分管教学的校领导批准。</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2.校企合作资源平台：充分发挥网络学习优势，提供专业的教学资源库链接，让学生的自主学习，利于学生的思维与技能的拓展由校企共同研发的汽修专业教学资源“云课堂”平台。以实际任务为驱动，培养学生完成任务的能力。</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3.数字化资源配备：每门课程均配备电子教案、PPT课件、教学素材、仿真课件等内容。利用数字化教学平台（如“超星学习通”）、智慧校园网资源库等数字化学习资源，供学生自主学习。</w:t>
      </w:r>
    </w:p>
    <w:p>
      <w:pPr>
        <w:pStyle w:val="3"/>
        <w:pageBreakBefore w:val="0"/>
        <w:widowControl w:val="0"/>
        <w:kinsoku/>
        <w:wordWrap/>
        <w:overflowPunct/>
        <w:topLinePunct w:val="0"/>
        <w:autoSpaceDE/>
        <w:autoSpaceDN/>
        <w:bidi w:val="0"/>
        <w:adjustRightInd/>
        <w:snapToGrid/>
        <w:spacing w:before="0" w:after="0" w:line="560" w:lineRule="exact"/>
        <w:ind w:firstLine="562" w:firstLineChars="200"/>
        <w:textAlignment w:val="auto"/>
        <w:rPr>
          <w:rFonts w:ascii="仿宋_GB2312" w:hAnsi="仿宋_GB2312" w:cs="仿宋_GB2312"/>
          <w:szCs w:val="28"/>
        </w:rPr>
      </w:pPr>
      <w:bookmarkStart w:id="101" w:name="_Toc24027"/>
      <w:bookmarkStart w:id="102" w:name="_Toc5668"/>
      <w:bookmarkStart w:id="103" w:name="_Toc659"/>
      <w:r>
        <w:rPr>
          <w:rFonts w:hint="eastAsia" w:ascii="仿宋_GB2312" w:hAnsi="仿宋_GB2312" w:cs="仿宋_GB2312"/>
          <w:szCs w:val="28"/>
        </w:rPr>
        <w:t>（四）</w:t>
      </w:r>
      <w:r>
        <w:rPr>
          <w:rFonts w:hint="eastAsia" w:ascii="仿宋_GB2312" w:hAnsi="仿宋_GB2312" w:cs="仿宋_GB2312"/>
          <w:szCs w:val="28"/>
          <w:lang w:val="zh-CN"/>
        </w:rPr>
        <w:t>教</w:t>
      </w:r>
      <w:r>
        <w:rPr>
          <w:rFonts w:hint="eastAsia" w:ascii="仿宋_GB2312" w:hAnsi="仿宋_GB2312" w:cs="仿宋_GB2312"/>
          <w:szCs w:val="28"/>
        </w:rPr>
        <w:t>学方法</w:t>
      </w:r>
      <w:bookmarkEnd w:id="101"/>
      <w:bookmarkEnd w:id="102"/>
      <w:bookmarkEnd w:id="103"/>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教师需以行动导向教学理念为指引，综合采用多种教学方法完成专业课教学。</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1．讲授法：最基本的教学方法，教师对重要的理论知识采用讲授的教学方式，直接、快速、精炼的让学生掌握，为学生在实践中能更游刃有余的应用打好坚实的理论基础。</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2.讨论法：在教师的指导下，学生以全班或小组为单位，围绕教材的中心问题，各抒己见，通过讨论或辩论活动，获得知识或巩固知识的一种教学方法。</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3.案例教学法：教师以真实的案例情境或题材，引导学生进行互相讨论，激励学生主动参与学习活动的一种教学方式。教师于教学中扮演着设计者和激励者的角色，引导学生参与到教学活动中。</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4.项目教学法：通过以提高学生实践能力为目标的项目设计、实施，教师提供一定的引导及帮助，让学生以小组合作形式自主完成，以综合培养其专业能力、方法能力。</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5.任务驱动法：基于工作岗位的任务教学法，专业教师根据在主要岗位能力要求的基础上，进行实践教学任务设计，让学生在“学中做，做中学”，营造真实岗位情景。同时进行全面立体的评价，增强学生的学习能动性。</w:t>
      </w:r>
    </w:p>
    <w:p>
      <w:pPr>
        <w:pStyle w:val="3"/>
        <w:pageBreakBefore w:val="0"/>
        <w:widowControl w:val="0"/>
        <w:kinsoku/>
        <w:wordWrap/>
        <w:overflowPunct/>
        <w:topLinePunct w:val="0"/>
        <w:autoSpaceDE/>
        <w:autoSpaceDN/>
        <w:bidi w:val="0"/>
        <w:adjustRightInd/>
        <w:snapToGrid/>
        <w:spacing w:before="0" w:after="0" w:line="560" w:lineRule="exact"/>
        <w:ind w:firstLine="562" w:firstLineChars="200"/>
        <w:textAlignment w:val="auto"/>
        <w:rPr>
          <w:rFonts w:ascii="仿宋_GB2312" w:hAnsi="仿宋_GB2312" w:cs="仿宋_GB2312"/>
          <w:szCs w:val="28"/>
        </w:rPr>
      </w:pPr>
      <w:bookmarkStart w:id="104" w:name="_Toc26138"/>
      <w:bookmarkStart w:id="105" w:name="_Toc20812"/>
      <w:bookmarkStart w:id="106" w:name="_Toc14400"/>
      <w:r>
        <w:rPr>
          <w:rFonts w:hint="eastAsia" w:ascii="仿宋_GB2312" w:hAnsi="仿宋_GB2312" w:cs="仿宋_GB2312"/>
          <w:szCs w:val="28"/>
        </w:rPr>
        <w:t>（五）学习评价</w:t>
      </w:r>
      <w:bookmarkEnd w:id="104"/>
      <w:bookmarkEnd w:id="105"/>
      <w:bookmarkEnd w:id="106"/>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教学评价应体现评价主体、评价方式、评价过程的多元化。要校内校外评价结合，学业考核与职业技能鉴定结合，教师评价、学生互评与自我评价相结合，过程性评价与结果性评价相结合。创新评价方式方法，既要关注学生对知识的理解和技能的掌握，更要关注运用知识在实践中解决实际问题的能力水平。</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要注重职业道德教育，构建学生、教师、家长、企业、社会广泛参与的学生综合素质评价体系；以过程性评价为导向，将学生日常学习态度、学习表现、知识技能运用纳入评价范围，形成日常学业水平测试、技能抽查等学业评价为主、期末考试考查为辅的过程性学业评价体系；以“1+X”证书为导向，课程融合；以企业职业岗位标准为参考依据，形成学校与企业专家共同参与学生企业顶岗实习环节的评价机制。结合专业教学实际，确定期末考试考查课程，按学业成绩管理统一规定，制定各门课程成绩评价标准。</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教学评价包括专业知识、专业技能和关键能力三个方面，权重可自行设置。各项目采用的考核方式分别为：专业知识主要采取笔试进行考核；专业技能主要采取实操形式进行考核，以企业生产实际中比较典型和常见的工作任务作为考核内容；关键能力主要是以学生平时的综合表现进行考核，涵盖出勤及仪容仪表、收集信息质量、计划可行性、工作态度与习惯、发现问题的敏锐性、处理问题的及时性、沟通能力和合作精神等方面的考核。</w:t>
      </w:r>
    </w:p>
    <w:p>
      <w:pPr>
        <w:pStyle w:val="3"/>
        <w:pageBreakBefore w:val="0"/>
        <w:widowControl w:val="0"/>
        <w:kinsoku/>
        <w:wordWrap/>
        <w:overflowPunct/>
        <w:topLinePunct w:val="0"/>
        <w:autoSpaceDE/>
        <w:autoSpaceDN/>
        <w:bidi w:val="0"/>
        <w:adjustRightInd/>
        <w:snapToGrid/>
        <w:spacing w:before="0" w:after="0" w:line="560" w:lineRule="exact"/>
        <w:ind w:firstLine="562" w:firstLineChars="200"/>
        <w:textAlignment w:val="auto"/>
        <w:rPr>
          <w:rFonts w:ascii="仿宋_GB2312" w:hAnsi="仿宋_GB2312" w:cs="仿宋_GB2312"/>
          <w:szCs w:val="28"/>
        </w:rPr>
      </w:pPr>
      <w:bookmarkStart w:id="107" w:name="_Toc15318"/>
      <w:bookmarkStart w:id="108" w:name="_Toc19798"/>
      <w:bookmarkStart w:id="109" w:name="_Toc7712"/>
      <w:r>
        <w:rPr>
          <w:rFonts w:hint="eastAsia" w:ascii="仿宋_GB2312" w:hAnsi="仿宋_GB2312" w:cs="仿宋_GB2312"/>
          <w:szCs w:val="28"/>
        </w:rPr>
        <w:t>（六）质量管理</w:t>
      </w:r>
      <w:bookmarkEnd w:id="107"/>
      <w:bookmarkEnd w:id="108"/>
      <w:bookmarkEnd w:id="109"/>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教学管理是学校的中心工作，教学质量管理是教学管理的核心。为实现中职学校教学管理的程序化、规范化、科学化、信息化，各学校要依据本专业教学指导方案，规范制定本专业实施性教学计划，并加强对学校实施性教学计划执行的管理监督，严格按教学计划开设课程，统一公共基础课的教学要求，加强对教学过程的质量监控。实施中职公共基础课学生学业质量评价，积极推行技能抽查、学业水平测试、综合素质评价和毕业生质量跟踪调查等。要按照教育部关于建立职业院校教学工作诊断与改进制度的有关要求，全面开展教学诊断与改进工作，不断完善内部质量保证制度体系和运行机制。</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按教育行政管理部门的规定实行学分制管理，积极推进学历证和职业资格证“双证书”制度。开展校企联合招生、联合培养的现代学徒制试点，推进校企一体化育人。制定学生实习管理实施办法，认真落实《中等职业学校学生实习管理办法》的规定和要求，加强监管。</w:t>
      </w:r>
    </w:p>
    <w:p>
      <w:pPr>
        <w:pStyle w:val="2"/>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ascii="仿宋_GB2312" w:hAnsi="仿宋_GB2312" w:cs="仿宋_GB2312"/>
          <w:sz w:val="32"/>
          <w:szCs w:val="32"/>
        </w:rPr>
      </w:pPr>
      <w:bookmarkStart w:id="110" w:name="_Toc10690"/>
      <w:bookmarkStart w:id="111" w:name="_Toc7713"/>
      <w:bookmarkStart w:id="112" w:name="_Toc414"/>
      <w:r>
        <w:rPr>
          <w:rFonts w:hint="eastAsia" w:ascii="仿宋_GB2312" w:hAnsi="仿宋_GB2312" w:cs="仿宋_GB2312"/>
          <w:sz w:val="32"/>
          <w:szCs w:val="32"/>
        </w:rPr>
        <w:t>九、毕业要求</w:t>
      </w:r>
      <w:bookmarkEnd w:id="110"/>
      <w:bookmarkEnd w:id="111"/>
      <w:bookmarkEnd w:id="112"/>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本专业毕业生在毕业审查时，要求同时满足以下条件：</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1.无任何纪律处分和违法记录，思想政治合格。</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2.根据专业人才培养目标和培养规格，结合本校实际情况，学生通过3年的学习必须修满专业人才培养方案规定的学时和学分。</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3.根据职业岗位需求,学生毕业之前须取得与专业相关的一项职业资格证书或“1+X”职业技能等级证书。</w:t>
      </w:r>
    </w:p>
    <w:p>
      <w:pPr>
        <w:pStyle w:val="2"/>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ascii="仿宋_GB2312" w:hAnsi="仿宋_GB2312" w:cs="仿宋_GB2312"/>
          <w:sz w:val="32"/>
          <w:szCs w:val="32"/>
        </w:rPr>
      </w:pPr>
      <w:bookmarkStart w:id="113" w:name="_Toc22432"/>
      <w:bookmarkStart w:id="114" w:name="_Toc17281"/>
      <w:bookmarkStart w:id="115" w:name="_Toc5845"/>
      <w:r>
        <w:rPr>
          <w:rFonts w:hint="eastAsia" w:ascii="仿宋_GB2312" w:hAnsi="仿宋_GB2312" w:cs="仿宋_GB2312"/>
          <w:sz w:val="32"/>
          <w:szCs w:val="32"/>
        </w:rPr>
        <w:t>十、其他</w:t>
      </w:r>
      <w:bookmarkEnd w:id="113"/>
      <w:bookmarkEnd w:id="114"/>
      <w:bookmarkEnd w:id="115"/>
    </w:p>
    <w:p>
      <w:pPr>
        <w:pStyle w:val="3"/>
        <w:pageBreakBefore w:val="0"/>
        <w:widowControl w:val="0"/>
        <w:kinsoku/>
        <w:wordWrap/>
        <w:overflowPunct/>
        <w:topLinePunct w:val="0"/>
        <w:autoSpaceDE/>
        <w:autoSpaceDN/>
        <w:bidi w:val="0"/>
        <w:adjustRightInd/>
        <w:snapToGrid/>
        <w:spacing w:before="0" w:after="0" w:line="560" w:lineRule="exact"/>
        <w:ind w:firstLine="562" w:firstLineChars="200"/>
        <w:textAlignment w:val="auto"/>
        <w:rPr>
          <w:rFonts w:ascii="仿宋_GB2312" w:hAnsi="仿宋_GB2312" w:cs="仿宋_GB2312"/>
          <w:szCs w:val="28"/>
        </w:rPr>
      </w:pPr>
      <w:bookmarkStart w:id="116" w:name="_Toc32256"/>
      <w:bookmarkStart w:id="117" w:name="_Toc533"/>
      <w:bookmarkStart w:id="118" w:name="_Toc19350"/>
      <w:r>
        <w:rPr>
          <w:rFonts w:hint="eastAsia" w:ascii="仿宋_GB2312" w:hAnsi="仿宋_GB2312" w:cs="仿宋_GB2312"/>
          <w:szCs w:val="28"/>
        </w:rPr>
        <w:t>（一）编写依据</w:t>
      </w:r>
      <w:bookmarkEnd w:id="116"/>
      <w:bookmarkEnd w:id="117"/>
      <w:bookmarkEnd w:id="118"/>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1.教育部《关于职业院校专业人才培养方案制定与实施工作的指导意见》</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2.教育部《中等职业学校汽车运用与维修专业教学标准》</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3.教育部《职业院校专业实训条件建设标准》</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4.重庆市《中等职业学校汽车运用与维修专业人才培养指导方案》</w:t>
      </w:r>
    </w:p>
    <w:p>
      <w:pPr>
        <w:pStyle w:val="3"/>
        <w:pageBreakBefore w:val="0"/>
        <w:widowControl w:val="0"/>
        <w:kinsoku/>
        <w:wordWrap/>
        <w:overflowPunct/>
        <w:topLinePunct w:val="0"/>
        <w:autoSpaceDE/>
        <w:autoSpaceDN/>
        <w:bidi w:val="0"/>
        <w:adjustRightInd/>
        <w:snapToGrid/>
        <w:spacing w:before="0" w:after="0" w:line="560" w:lineRule="exact"/>
        <w:ind w:firstLine="562" w:firstLineChars="200"/>
        <w:textAlignment w:val="auto"/>
        <w:rPr>
          <w:rFonts w:ascii="仿宋_GB2312" w:hAnsi="仿宋_GB2312" w:cs="仿宋_GB2312"/>
          <w:szCs w:val="28"/>
        </w:rPr>
      </w:pPr>
      <w:bookmarkStart w:id="119" w:name="_Toc29642"/>
      <w:bookmarkStart w:id="120" w:name="_Toc25178"/>
      <w:bookmarkStart w:id="121" w:name="_Toc11834"/>
      <w:r>
        <w:rPr>
          <w:rFonts w:hint="eastAsia" w:ascii="仿宋_GB2312" w:hAnsi="仿宋_GB2312" w:cs="仿宋_GB2312"/>
          <w:szCs w:val="28"/>
        </w:rPr>
        <w:t>（二）适用范围</w:t>
      </w:r>
      <w:bookmarkEnd w:id="119"/>
      <w:bookmarkEnd w:id="120"/>
      <w:bookmarkEnd w:id="121"/>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1.中职三年制汽车运用与维修专业。</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2.汽车专业3+4、五年制的中等职业教育阶段可参照执行。</w:t>
      </w:r>
    </w:p>
    <w:p>
      <w:pPr>
        <w:pStyle w:val="3"/>
        <w:pageBreakBefore w:val="0"/>
        <w:widowControl w:val="0"/>
        <w:kinsoku/>
        <w:wordWrap/>
        <w:overflowPunct/>
        <w:topLinePunct w:val="0"/>
        <w:autoSpaceDE/>
        <w:autoSpaceDN/>
        <w:bidi w:val="0"/>
        <w:adjustRightInd/>
        <w:snapToGrid/>
        <w:spacing w:before="0" w:after="0" w:line="560" w:lineRule="exact"/>
        <w:ind w:firstLine="562" w:firstLineChars="200"/>
        <w:textAlignment w:val="auto"/>
        <w:rPr>
          <w:rFonts w:ascii="仿宋_GB2312" w:hAnsi="仿宋_GB2312" w:cs="仿宋_GB2312"/>
          <w:szCs w:val="28"/>
        </w:rPr>
      </w:pPr>
      <w:bookmarkStart w:id="122" w:name="_Toc31937"/>
      <w:bookmarkStart w:id="123" w:name="_Toc32432"/>
      <w:bookmarkStart w:id="124" w:name="_Toc4141"/>
      <w:r>
        <w:rPr>
          <w:rFonts w:hint="eastAsia" w:ascii="仿宋_GB2312" w:hAnsi="仿宋_GB2312" w:cs="仿宋_GB2312"/>
          <w:szCs w:val="28"/>
        </w:rPr>
        <w:t>（三）修订原则</w:t>
      </w:r>
      <w:bookmarkEnd w:id="122"/>
      <w:bookmarkEnd w:id="123"/>
      <w:bookmarkEnd w:id="124"/>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cs="仿宋_GB2312"/>
          <w:sz w:val="28"/>
          <w:szCs w:val="28"/>
        </w:rPr>
      </w:pPr>
      <w:r>
        <w:rPr>
          <w:rFonts w:hint="eastAsia" w:ascii="仿宋_GB2312" w:hAnsi="仿宋_GB2312" w:cs="仿宋_GB2312"/>
          <w:sz w:val="28"/>
          <w:szCs w:val="28"/>
        </w:rPr>
        <w:t>原则上每三年修订一次，修订后报专业建设指导委员会和学校教务处审核通过后实施。</w:t>
      </w:r>
    </w:p>
    <w:p>
      <w:pPr>
        <w:pageBreakBefore w:val="0"/>
        <w:widowControl w:val="0"/>
        <w:kinsoku/>
        <w:wordWrap/>
        <w:overflowPunct/>
        <w:topLinePunct w:val="0"/>
        <w:autoSpaceDE/>
        <w:autoSpaceDN/>
        <w:bidi w:val="0"/>
        <w:adjustRightInd/>
        <w:snapToGrid/>
        <w:spacing w:line="560" w:lineRule="exact"/>
        <w:ind w:firstLine="560" w:firstLineChars="200"/>
        <w:jc w:val="center"/>
        <w:textAlignment w:val="auto"/>
        <w:rPr>
          <w:sz w:val="28"/>
          <w:szCs w:val="28"/>
        </w:rPr>
      </w:pPr>
    </w:p>
    <w:sectPr>
      <w:footerReference r:id="rId4" w:type="default"/>
      <w:pgSz w:w="11906" w:h="16838"/>
      <w:pgMar w:top="1134" w:right="1134" w:bottom="1134" w:left="1134" w:header="851" w:footer="992" w:gutter="0"/>
      <w:pgNumType w:start="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DF1129"/>
    <w:multiLevelType w:val="multilevel"/>
    <w:tmpl w:val="21DF1129"/>
    <w:lvl w:ilvl="0" w:tentative="0">
      <w:start w:val="1"/>
      <w:numFmt w:val="decimal"/>
      <w:lvlText w:val="（%1）"/>
      <w:lvlJc w:val="left"/>
      <w:pPr>
        <w:ind w:left="1295" w:hanging="735"/>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U2ZTdlYWY2NjZiNDgxOTc0ZGMzMDI2ZTIwZmFlY2YifQ=="/>
  </w:docVars>
  <w:rsids>
    <w:rsidRoot w:val="00172A27"/>
    <w:rsid w:val="0006273D"/>
    <w:rsid w:val="000A72AA"/>
    <w:rsid w:val="000F369D"/>
    <w:rsid w:val="00172A27"/>
    <w:rsid w:val="00353CE4"/>
    <w:rsid w:val="00415BD0"/>
    <w:rsid w:val="00507BAA"/>
    <w:rsid w:val="005429E2"/>
    <w:rsid w:val="00615F18"/>
    <w:rsid w:val="0061664C"/>
    <w:rsid w:val="00653DF7"/>
    <w:rsid w:val="006D78DA"/>
    <w:rsid w:val="006F6145"/>
    <w:rsid w:val="007149A5"/>
    <w:rsid w:val="007757C9"/>
    <w:rsid w:val="007A2982"/>
    <w:rsid w:val="008016E0"/>
    <w:rsid w:val="008C6AA8"/>
    <w:rsid w:val="008E6FE5"/>
    <w:rsid w:val="009A5D70"/>
    <w:rsid w:val="009C59AE"/>
    <w:rsid w:val="009D2002"/>
    <w:rsid w:val="00A55D69"/>
    <w:rsid w:val="00B179A5"/>
    <w:rsid w:val="00BE3B6F"/>
    <w:rsid w:val="00C26437"/>
    <w:rsid w:val="00CB4156"/>
    <w:rsid w:val="00D0289F"/>
    <w:rsid w:val="00D9223B"/>
    <w:rsid w:val="00DB6CAB"/>
    <w:rsid w:val="00F17DC4"/>
    <w:rsid w:val="00F23038"/>
    <w:rsid w:val="00F8596E"/>
    <w:rsid w:val="01833AE3"/>
    <w:rsid w:val="01BA05AB"/>
    <w:rsid w:val="02A11271"/>
    <w:rsid w:val="056F6D1F"/>
    <w:rsid w:val="067C1AE6"/>
    <w:rsid w:val="07090889"/>
    <w:rsid w:val="08CB3BC6"/>
    <w:rsid w:val="09D10C6B"/>
    <w:rsid w:val="0A5E7708"/>
    <w:rsid w:val="0D901873"/>
    <w:rsid w:val="0E1B7FFB"/>
    <w:rsid w:val="0EB572D1"/>
    <w:rsid w:val="0EF10A45"/>
    <w:rsid w:val="0FD31532"/>
    <w:rsid w:val="11762873"/>
    <w:rsid w:val="11E221CA"/>
    <w:rsid w:val="12170C2E"/>
    <w:rsid w:val="124869C8"/>
    <w:rsid w:val="14551D58"/>
    <w:rsid w:val="14C02212"/>
    <w:rsid w:val="14DE013D"/>
    <w:rsid w:val="151F0A54"/>
    <w:rsid w:val="15641915"/>
    <w:rsid w:val="15922163"/>
    <w:rsid w:val="16B234F1"/>
    <w:rsid w:val="16F3717C"/>
    <w:rsid w:val="1A0B0A47"/>
    <w:rsid w:val="1A18653B"/>
    <w:rsid w:val="1DDC7856"/>
    <w:rsid w:val="1E0D6278"/>
    <w:rsid w:val="1E2557D7"/>
    <w:rsid w:val="1FDA5827"/>
    <w:rsid w:val="20C013F5"/>
    <w:rsid w:val="213D7866"/>
    <w:rsid w:val="21CB2EE3"/>
    <w:rsid w:val="21D861D9"/>
    <w:rsid w:val="223A4EFA"/>
    <w:rsid w:val="22B0401F"/>
    <w:rsid w:val="22FF6BE6"/>
    <w:rsid w:val="23A95C5B"/>
    <w:rsid w:val="23FD3674"/>
    <w:rsid w:val="255C2D5A"/>
    <w:rsid w:val="257A558D"/>
    <w:rsid w:val="2739451C"/>
    <w:rsid w:val="27621A5B"/>
    <w:rsid w:val="29BD3A41"/>
    <w:rsid w:val="29FA5255"/>
    <w:rsid w:val="2A300445"/>
    <w:rsid w:val="2AFF5F3D"/>
    <w:rsid w:val="2B095D12"/>
    <w:rsid w:val="2BAD398D"/>
    <w:rsid w:val="2BC246E5"/>
    <w:rsid w:val="2CD14522"/>
    <w:rsid w:val="2F522B4E"/>
    <w:rsid w:val="2F663FF7"/>
    <w:rsid w:val="2F884117"/>
    <w:rsid w:val="304A2FCA"/>
    <w:rsid w:val="304F45E9"/>
    <w:rsid w:val="318B72BB"/>
    <w:rsid w:val="3252635D"/>
    <w:rsid w:val="32E91826"/>
    <w:rsid w:val="34E44205"/>
    <w:rsid w:val="36455F12"/>
    <w:rsid w:val="368F2B7E"/>
    <w:rsid w:val="37185D1E"/>
    <w:rsid w:val="37D318A4"/>
    <w:rsid w:val="37FE1DEC"/>
    <w:rsid w:val="381B2CE1"/>
    <w:rsid w:val="392A6ACA"/>
    <w:rsid w:val="39B070D4"/>
    <w:rsid w:val="3A2D6E2F"/>
    <w:rsid w:val="3B086C8C"/>
    <w:rsid w:val="3C6A742C"/>
    <w:rsid w:val="3CD0699E"/>
    <w:rsid w:val="3D7D14F8"/>
    <w:rsid w:val="3D7E3092"/>
    <w:rsid w:val="3DE37FFB"/>
    <w:rsid w:val="3F560780"/>
    <w:rsid w:val="3FC967A2"/>
    <w:rsid w:val="409301C5"/>
    <w:rsid w:val="41897F13"/>
    <w:rsid w:val="42721912"/>
    <w:rsid w:val="42DA7C26"/>
    <w:rsid w:val="43533013"/>
    <w:rsid w:val="43F62228"/>
    <w:rsid w:val="44CF7A42"/>
    <w:rsid w:val="46D71986"/>
    <w:rsid w:val="47EA5484"/>
    <w:rsid w:val="482A258F"/>
    <w:rsid w:val="482B21E0"/>
    <w:rsid w:val="4B0C1CF5"/>
    <w:rsid w:val="4BD54F50"/>
    <w:rsid w:val="4D925C28"/>
    <w:rsid w:val="4E366AC0"/>
    <w:rsid w:val="4E3E2C90"/>
    <w:rsid w:val="4E6E6427"/>
    <w:rsid w:val="4EFE5FB7"/>
    <w:rsid w:val="4F416EFA"/>
    <w:rsid w:val="502A792C"/>
    <w:rsid w:val="50760293"/>
    <w:rsid w:val="5089075F"/>
    <w:rsid w:val="52DE38A9"/>
    <w:rsid w:val="53ED643F"/>
    <w:rsid w:val="54790FFB"/>
    <w:rsid w:val="556D5D1B"/>
    <w:rsid w:val="55F8184D"/>
    <w:rsid w:val="5C4707F3"/>
    <w:rsid w:val="5D297D02"/>
    <w:rsid w:val="5D7E2D18"/>
    <w:rsid w:val="5DFF45E6"/>
    <w:rsid w:val="60607BA4"/>
    <w:rsid w:val="60993645"/>
    <w:rsid w:val="610861D9"/>
    <w:rsid w:val="622409CC"/>
    <w:rsid w:val="62D25850"/>
    <w:rsid w:val="63CD0C9E"/>
    <w:rsid w:val="63F34B45"/>
    <w:rsid w:val="656E291E"/>
    <w:rsid w:val="65B72F94"/>
    <w:rsid w:val="65E255D7"/>
    <w:rsid w:val="661F08A1"/>
    <w:rsid w:val="6636384B"/>
    <w:rsid w:val="685A7468"/>
    <w:rsid w:val="687B6FCF"/>
    <w:rsid w:val="688E0C4D"/>
    <w:rsid w:val="69B53AF7"/>
    <w:rsid w:val="69F2434A"/>
    <w:rsid w:val="6AE5695B"/>
    <w:rsid w:val="6B810625"/>
    <w:rsid w:val="6BA94FED"/>
    <w:rsid w:val="6E780258"/>
    <w:rsid w:val="6ECC1A2F"/>
    <w:rsid w:val="71564B3D"/>
    <w:rsid w:val="730372B1"/>
    <w:rsid w:val="7318317B"/>
    <w:rsid w:val="738B4361"/>
    <w:rsid w:val="743C350F"/>
    <w:rsid w:val="74EE2A60"/>
    <w:rsid w:val="75C92139"/>
    <w:rsid w:val="7605504C"/>
    <w:rsid w:val="7779378A"/>
    <w:rsid w:val="780655AD"/>
    <w:rsid w:val="7811677A"/>
    <w:rsid w:val="7A5C5461"/>
    <w:rsid w:val="7B385B7D"/>
    <w:rsid w:val="7C7F5E3F"/>
    <w:rsid w:val="7C8F2F9D"/>
    <w:rsid w:val="7DA876D2"/>
    <w:rsid w:val="7DFE4841"/>
    <w:rsid w:val="7DFE4886"/>
    <w:rsid w:val="7E122DE0"/>
    <w:rsid w:val="7E560B83"/>
    <w:rsid w:val="7EFB7450"/>
    <w:rsid w:val="7F4204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unhideWhenUsed/>
    <w:qFormat/>
    <w:uiPriority w:val="0"/>
    <w:pPr>
      <w:keepNext/>
      <w:keepLines/>
      <w:spacing w:before="260" w:after="260" w:line="413" w:lineRule="auto"/>
      <w:outlineLvl w:val="1"/>
    </w:pPr>
    <w:rPr>
      <w:rFonts w:ascii="Arial" w:hAnsi="Arial"/>
      <w:b/>
      <w:sz w:val="28"/>
    </w:rPr>
  </w:style>
  <w:style w:type="character" w:default="1" w:styleId="19">
    <w:name w:val="Default Paragraph Font"/>
    <w:unhideWhenUsed/>
    <w:uiPriority w:val="1"/>
  </w:style>
  <w:style w:type="table" w:default="1" w:styleId="17">
    <w:name w:val="Normal Table"/>
    <w:unhideWhenUsed/>
    <w:qFormat/>
    <w:uiPriority w:val="99"/>
    <w:tblPr>
      <w:tblCellMar>
        <w:top w:w="0" w:type="dxa"/>
        <w:left w:w="108" w:type="dxa"/>
        <w:bottom w:w="0" w:type="dxa"/>
        <w:right w:w="108" w:type="dxa"/>
      </w:tblCellMar>
    </w:tblPr>
  </w:style>
  <w:style w:type="paragraph" w:styleId="4">
    <w:name w:val="toc 7"/>
    <w:basedOn w:val="1"/>
    <w:next w:val="1"/>
    <w:qFormat/>
    <w:uiPriority w:val="0"/>
    <w:pPr>
      <w:ind w:left="2520" w:leftChars="1200"/>
    </w:pPr>
  </w:style>
  <w:style w:type="paragraph" w:styleId="5">
    <w:name w:val="Body Text"/>
    <w:basedOn w:val="1"/>
    <w:qFormat/>
    <w:uiPriority w:val="0"/>
    <w:rPr>
      <w:rFonts w:ascii="宋体" w:hAnsi="宋体" w:eastAsia="宋体" w:cs="宋体"/>
      <w:sz w:val="24"/>
      <w:szCs w:val="24"/>
      <w:lang w:val="zh-CN" w:bidi="zh-CN"/>
    </w:rPr>
  </w:style>
  <w:style w:type="paragraph" w:styleId="6">
    <w:name w:val="toc 5"/>
    <w:basedOn w:val="1"/>
    <w:next w:val="1"/>
    <w:qFormat/>
    <w:uiPriority w:val="0"/>
    <w:pPr>
      <w:ind w:left="1680" w:leftChars="800"/>
    </w:pPr>
  </w:style>
  <w:style w:type="paragraph" w:styleId="7">
    <w:name w:val="toc 3"/>
    <w:basedOn w:val="1"/>
    <w:next w:val="1"/>
    <w:qFormat/>
    <w:uiPriority w:val="0"/>
    <w:pPr>
      <w:ind w:left="840" w:leftChars="400"/>
    </w:pPr>
  </w:style>
  <w:style w:type="paragraph" w:styleId="8">
    <w:name w:val="toc 8"/>
    <w:basedOn w:val="1"/>
    <w:next w:val="1"/>
    <w:uiPriority w:val="0"/>
    <w:pPr>
      <w:ind w:left="2940" w:leftChars="1400"/>
    </w:pPr>
  </w:style>
  <w:style w:type="paragraph" w:styleId="9">
    <w:name w:val="footer"/>
    <w:basedOn w:val="1"/>
    <w:autoRedefine/>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toc 1"/>
    <w:basedOn w:val="1"/>
    <w:next w:val="1"/>
    <w:qFormat/>
    <w:uiPriority w:val="0"/>
  </w:style>
  <w:style w:type="paragraph" w:styleId="12">
    <w:name w:val="toc 4"/>
    <w:basedOn w:val="1"/>
    <w:next w:val="1"/>
    <w:autoRedefine/>
    <w:qFormat/>
    <w:uiPriority w:val="0"/>
    <w:pPr>
      <w:ind w:left="1260" w:leftChars="600"/>
    </w:pPr>
  </w:style>
  <w:style w:type="paragraph" w:styleId="13">
    <w:name w:val="toc 6"/>
    <w:basedOn w:val="1"/>
    <w:next w:val="1"/>
    <w:autoRedefine/>
    <w:qFormat/>
    <w:uiPriority w:val="0"/>
    <w:pPr>
      <w:ind w:left="2100" w:leftChars="1000"/>
    </w:pPr>
  </w:style>
  <w:style w:type="paragraph" w:styleId="14">
    <w:name w:val="toc 2"/>
    <w:basedOn w:val="1"/>
    <w:next w:val="1"/>
    <w:qFormat/>
    <w:uiPriority w:val="0"/>
    <w:pPr>
      <w:ind w:left="420" w:leftChars="200"/>
    </w:pPr>
  </w:style>
  <w:style w:type="paragraph" w:styleId="15">
    <w:name w:val="toc 9"/>
    <w:basedOn w:val="1"/>
    <w:next w:val="1"/>
    <w:qFormat/>
    <w:uiPriority w:val="0"/>
    <w:pPr>
      <w:ind w:left="3360" w:leftChars="1600"/>
    </w:pPr>
  </w:style>
  <w:style w:type="paragraph" w:styleId="16">
    <w:name w:val="Normal (Web)"/>
    <w:basedOn w:val="1"/>
    <w:qFormat/>
    <w:uiPriority w:val="0"/>
    <w:pPr>
      <w:spacing w:beforeAutospacing="1" w:afterAutospacing="1"/>
      <w:jc w:val="left"/>
    </w:pPr>
    <w:rPr>
      <w:kern w:val="0"/>
      <w:sz w:val="24"/>
    </w:rPr>
  </w:style>
  <w:style w:type="table" w:styleId="18">
    <w:name w:val="Table Grid"/>
    <w:basedOn w:val="17"/>
    <w:qFormat/>
    <w:uiPriority w:val="0"/>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
    <w:name w:val="Table Paragraph"/>
    <w:basedOn w:val="1"/>
    <w:qFormat/>
    <w:uiPriority w:val="1"/>
    <w:rPr>
      <w:rFonts w:ascii="宋体" w:hAnsi="宋体" w:eastAsia="宋体" w:cs="宋体"/>
      <w:lang w:val="zh-CN" w:bidi="zh-CN"/>
    </w:rPr>
  </w:style>
  <w:style w:type="paragraph" w:customStyle="1" w:styleId="21">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2.emf"/><Relationship Id="rId7" Type="http://schemas.openxmlformats.org/officeDocument/2006/relationships/oleObject" Target="embeddings/oleObject1.bin"/><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2022</Words>
  <Characters>11526</Characters>
  <Lines>96</Lines>
  <Paragraphs>27</Paragraphs>
  <TotalTime>4</TotalTime>
  <ScaleCrop>false</ScaleCrop>
  <LinksUpToDate>false</LinksUpToDate>
  <CharactersWithSpaces>13521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2021-01-31T01:57:00Z</dcterms:created>
  <dc:creator>admin</dc:creator>
  <cp:lastModifiedBy>皆有可能</cp:lastModifiedBy>
  <cp:lastPrinted>2021-02-01T09:04:00Z</cp:lastPrinted>
  <dcterms:modified xsi:type="dcterms:W3CDTF">2024-04-22T09:45:40Z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E002CD2744F5431DBF13E01839E79999</vt:lpwstr>
  </property>
</Properties>
</file>